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BD0A0">
      <w:pPr>
        <w:jc w:val="center"/>
        <w:rPr>
          <w:rFonts w:ascii="黑体" w:hAnsi="黑体" w:eastAsia="黑体" w:cs="黑体"/>
          <w:color w:val="auto"/>
          <w:kern w:val="0"/>
          <w:sz w:val="52"/>
          <w:szCs w:val="52"/>
          <w:lang w:bidi="ar"/>
        </w:rPr>
      </w:pPr>
    </w:p>
    <w:p w14:paraId="3C48F1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44"/>
          <w:szCs w:val="44"/>
        </w:rPr>
      </w:pPr>
      <w:r>
        <w:rPr>
          <w:rFonts w:hint="eastAsia" w:ascii="黑体" w:hAnsi="黑体" w:eastAsia="黑体" w:cs="黑体"/>
          <w:b w:val="0"/>
          <w:bCs w:val="0"/>
          <w:sz w:val="44"/>
          <w:szCs w:val="44"/>
        </w:rPr>
        <w:t>国家计量技术规范</w:t>
      </w:r>
    </w:p>
    <w:p w14:paraId="252F92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44"/>
          <w:szCs w:val="44"/>
        </w:rPr>
      </w:pPr>
      <w:r>
        <w:rPr>
          <w:rFonts w:hint="eastAsia" w:ascii="黑体" w:hAnsi="黑体" w:eastAsia="黑体" w:cs="黑体"/>
          <w:b w:val="0"/>
          <w:bCs w:val="0"/>
          <w:sz w:val="44"/>
          <w:szCs w:val="44"/>
        </w:rPr>
        <w:t>《</w:t>
      </w:r>
      <w:r>
        <w:rPr>
          <w:rFonts w:hint="eastAsia" w:ascii="黑体" w:hAnsi="黑体" w:eastAsia="黑体" w:cs="黑体"/>
          <w:b w:val="0"/>
          <w:bCs w:val="0"/>
          <w:sz w:val="44"/>
          <w:szCs w:val="44"/>
          <w:lang w:eastAsia="zh-CN"/>
        </w:rPr>
        <w:t>电磁流量计型式评价大纲</w:t>
      </w:r>
      <w:r>
        <w:rPr>
          <w:rFonts w:hint="eastAsia" w:ascii="黑体" w:hAnsi="黑体" w:eastAsia="黑体" w:cs="黑体"/>
          <w:b w:val="0"/>
          <w:bCs w:val="0"/>
          <w:sz w:val="44"/>
          <w:szCs w:val="44"/>
        </w:rPr>
        <w:t>》</w:t>
      </w:r>
    </w:p>
    <w:p w14:paraId="628F57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s="黑体"/>
          <w:color w:val="auto"/>
          <w:kern w:val="0"/>
          <w:sz w:val="32"/>
          <w:szCs w:val="32"/>
          <w:lang w:bidi="ar"/>
        </w:rPr>
      </w:pPr>
      <w:r>
        <w:rPr>
          <w:rFonts w:hint="eastAsia" w:ascii="宋体" w:hAnsi="宋体" w:cs="宋体"/>
          <w:color w:val="auto"/>
          <w:kern w:val="0"/>
          <w:sz w:val="32"/>
          <w:szCs w:val="32"/>
          <w:lang w:bidi="ar"/>
        </w:rPr>
        <w:t>（</w:t>
      </w:r>
      <w:r>
        <w:rPr>
          <w:rFonts w:hint="eastAsia" w:ascii="黑体" w:hAnsi="黑体" w:eastAsia="黑体" w:cs="黑体"/>
          <w:color w:val="auto"/>
          <w:kern w:val="0"/>
          <w:sz w:val="32"/>
          <w:szCs w:val="32"/>
          <w:lang w:val="en-US" w:eastAsia="zh-CN" w:bidi="ar"/>
        </w:rPr>
        <w:t>征求意见</w:t>
      </w:r>
      <w:r>
        <w:rPr>
          <w:rFonts w:hint="eastAsia" w:ascii="黑体" w:hAnsi="黑体" w:eastAsia="黑体" w:cs="黑体"/>
          <w:color w:val="auto"/>
          <w:kern w:val="0"/>
          <w:sz w:val="32"/>
          <w:szCs w:val="32"/>
          <w:lang w:bidi="ar"/>
        </w:rPr>
        <w:t>稿</w:t>
      </w:r>
      <w:r>
        <w:rPr>
          <w:rFonts w:hint="eastAsia" w:ascii="宋体" w:hAnsi="宋体" w:cs="宋体"/>
          <w:color w:val="auto"/>
          <w:kern w:val="0"/>
          <w:sz w:val="32"/>
          <w:szCs w:val="32"/>
          <w:lang w:bidi="ar"/>
        </w:rPr>
        <w:t>）</w:t>
      </w:r>
    </w:p>
    <w:p w14:paraId="34C27CC5">
      <w:pPr>
        <w:pStyle w:val="19"/>
        <w:tabs>
          <w:tab w:val="left" w:pos="420"/>
          <w:tab w:val="right" w:pos="8280"/>
        </w:tabs>
        <w:spacing w:before="702" w:beforeLines="150"/>
        <w:ind w:firstLine="0" w:firstLineChars="0"/>
        <w:jc w:val="center"/>
        <w:rPr>
          <w:rFonts w:hint="eastAsia" w:eastAsia="隶书" w:cs="Times New Roman"/>
          <w:sz w:val="44"/>
          <w:szCs w:val="44"/>
        </w:rPr>
      </w:pPr>
      <w:r>
        <w:rPr>
          <w:rFonts w:hint="eastAsia" w:eastAsia="隶书" w:cs="Times New Roman"/>
          <w:sz w:val="44"/>
          <w:szCs w:val="44"/>
          <w:lang w:val="en-US" w:eastAsia="zh-CN"/>
        </w:rPr>
        <w:t>修订</w:t>
      </w:r>
      <w:r>
        <w:rPr>
          <w:rFonts w:hint="eastAsia" w:eastAsia="隶书" w:cs="Times New Roman"/>
          <w:sz w:val="44"/>
          <w:szCs w:val="44"/>
        </w:rPr>
        <w:t>编</w:t>
      </w:r>
      <w:r>
        <w:rPr>
          <w:rFonts w:hint="eastAsia" w:eastAsia="隶书" w:cs="Times New Roman"/>
          <w:sz w:val="44"/>
          <w:szCs w:val="44"/>
          <w:lang w:val="en-US" w:eastAsia="zh-CN"/>
        </w:rPr>
        <w:t>写</w:t>
      </w:r>
      <w:r>
        <w:rPr>
          <w:rFonts w:hint="eastAsia" w:eastAsia="隶书" w:cs="Times New Roman"/>
          <w:sz w:val="44"/>
          <w:szCs w:val="44"/>
        </w:rPr>
        <w:t>说明</w:t>
      </w:r>
    </w:p>
    <w:p w14:paraId="0C4B4B11">
      <w:pPr>
        <w:jc w:val="center"/>
        <w:rPr>
          <w:rFonts w:ascii="黑体" w:hAnsi="黑体" w:eastAsia="黑体" w:cs="黑体"/>
          <w:color w:val="auto"/>
          <w:kern w:val="0"/>
          <w:sz w:val="52"/>
          <w:szCs w:val="52"/>
          <w:lang w:bidi="ar"/>
        </w:rPr>
      </w:pPr>
    </w:p>
    <w:p w14:paraId="7A6E54AB">
      <w:pPr>
        <w:jc w:val="center"/>
        <w:rPr>
          <w:rFonts w:ascii="黑体" w:hAnsi="黑体" w:eastAsia="黑体" w:cs="黑体"/>
          <w:color w:val="auto"/>
          <w:kern w:val="0"/>
          <w:sz w:val="52"/>
          <w:szCs w:val="52"/>
          <w:lang w:bidi="ar"/>
        </w:rPr>
      </w:pPr>
    </w:p>
    <w:p w14:paraId="02695D60">
      <w:pPr>
        <w:jc w:val="center"/>
        <w:rPr>
          <w:rFonts w:ascii="黑体" w:hAnsi="黑体" w:eastAsia="黑体" w:cs="黑体"/>
          <w:color w:val="auto"/>
          <w:kern w:val="0"/>
          <w:sz w:val="52"/>
          <w:szCs w:val="52"/>
          <w:lang w:bidi="ar"/>
        </w:rPr>
      </w:pPr>
    </w:p>
    <w:p w14:paraId="44F5835B">
      <w:pPr>
        <w:jc w:val="center"/>
        <w:rPr>
          <w:rFonts w:ascii="黑体" w:hAnsi="黑体" w:eastAsia="黑体" w:cs="黑体"/>
          <w:color w:val="auto"/>
          <w:kern w:val="0"/>
          <w:sz w:val="52"/>
          <w:szCs w:val="52"/>
          <w:lang w:bidi="ar"/>
        </w:rPr>
      </w:pPr>
    </w:p>
    <w:p w14:paraId="15FD5E25">
      <w:pPr>
        <w:jc w:val="center"/>
        <w:rPr>
          <w:rFonts w:ascii="黑体" w:hAnsi="黑体" w:eastAsia="黑体" w:cs="黑体"/>
          <w:color w:val="auto"/>
          <w:kern w:val="0"/>
          <w:sz w:val="52"/>
          <w:szCs w:val="52"/>
          <w:lang w:bidi="ar"/>
        </w:rPr>
      </w:pPr>
    </w:p>
    <w:p w14:paraId="699053E1">
      <w:pPr>
        <w:jc w:val="center"/>
        <w:rPr>
          <w:rFonts w:ascii="黑体" w:hAnsi="黑体" w:eastAsia="黑体" w:cs="黑体"/>
          <w:color w:val="auto"/>
          <w:kern w:val="0"/>
          <w:sz w:val="52"/>
          <w:szCs w:val="52"/>
          <w:lang w:bidi="ar"/>
        </w:rPr>
      </w:pPr>
    </w:p>
    <w:p w14:paraId="4D33F1AB">
      <w:pPr>
        <w:jc w:val="center"/>
        <w:rPr>
          <w:rFonts w:ascii="黑体" w:hAnsi="黑体" w:eastAsia="黑体" w:cs="黑体"/>
          <w:color w:val="auto"/>
          <w:kern w:val="0"/>
          <w:sz w:val="52"/>
          <w:szCs w:val="52"/>
          <w:lang w:bidi="ar"/>
        </w:rPr>
      </w:pPr>
    </w:p>
    <w:p w14:paraId="63C2CCD2">
      <w:pPr>
        <w:jc w:val="center"/>
        <w:rPr>
          <w:rFonts w:ascii="黑体" w:hAnsi="黑体" w:eastAsia="黑体" w:cs="黑体"/>
          <w:color w:val="auto"/>
          <w:kern w:val="0"/>
          <w:sz w:val="52"/>
          <w:szCs w:val="52"/>
          <w:lang w:bidi="ar"/>
        </w:rPr>
      </w:pPr>
    </w:p>
    <w:p w14:paraId="1E0C996F">
      <w:pPr>
        <w:jc w:val="center"/>
        <w:rPr>
          <w:rFonts w:ascii="黑体" w:hAnsi="黑体" w:eastAsia="黑体" w:cs="黑体"/>
          <w:color w:val="auto"/>
          <w:sz w:val="28"/>
          <w:szCs w:val="28"/>
        </w:rPr>
      </w:pPr>
      <w:r>
        <w:rPr>
          <w:rFonts w:hint="eastAsia" w:ascii="黑体" w:hAnsi="黑体" w:eastAsia="黑体" w:cs="黑体"/>
          <w:color w:val="auto"/>
          <w:sz w:val="28"/>
          <w:szCs w:val="28"/>
        </w:rPr>
        <w:t>大纲起草组</w:t>
      </w:r>
    </w:p>
    <w:p w14:paraId="34FB18FA">
      <w:pPr>
        <w:jc w:val="center"/>
        <w:rPr>
          <w:rFonts w:ascii="黑体" w:hAnsi="黑体" w:eastAsia="黑体" w:cs="黑体"/>
          <w:color w:val="auto"/>
          <w:sz w:val="28"/>
          <w:szCs w:val="28"/>
        </w:rPr>
      </w:pPr>
      <w:r>
        <w:rPr>
          <w:rFonts w:hint="eastAsia" w:ascii="黑体" w:hAnsi="黑体" w:eastAsia="黑体" w:cs="黑体"/>
          <w:color w:val="auto"/>
          <w:sz w:val="28"/>
          <w:szCs w:val="28"/>
        </w:rPr>
        <w:t>202</w:t>
      </w:r>
      <w:r>
        <w:rPr>
          <w:rFonts w:hint="eastAsia" w:ascii="黑体" w:hAnsi="黑体" w:eastAsia="黑体" w:cs="黑体"/>
          <w:color w:val="auto"/>
          <w:sz w:val="28"/>
          <w:szCs w:val="28"/>
          <w:lang w:val="en-US" w:eastAsia="zh-CN"/>
        </w:rPr>
        <w:t>6</w:t>
      </w:r>
      <w:r>
        <w:rPr>
          <w:rFonts w:hint="eastAsia" w:ascii="黑体" w:hAnsi="黑体" w:eastAsia="黑体" w:cs="黑体"/>
          <w:color w:val="auto"/>
          <w:sz w:val="28"/>
          <w:szCs w:val="28"/>
        </w:rPr>
        <w:t>年</w:t>
      </w:r>
      <w:r>
        <w:rPr>
          <w:rFonts w:hint="eastAsia" w:ascii="黑体" w:hAnsi="黑体" w:eastAsia="黑体" w:cs="黑体"/>
          <w:color w:val="auto"/>
          <w:sz w:val="28"/>
          <w:szCs w:val="28"/>
          <w:lang w:val="en-US" w:eastAsia="zh-CN"/>
        </w:rPr>
        <w:t>7</w:t>
      </w:r>
      <w:r>
        <w:rPr>
          <w:rFonts w:hint="eastAsia" w:ascii="黑体" w:hAnsi="黑体" w:eastAsia="黑体" w:cs="黑体"/>
          <w:color w:val="auto"/>
          <w:sz w:val="28"/>
          <w:szCs w:val="28"/>
        </w:rPr>
        <w:t>月</w:t>
      </w:r>
    </w:p>
    <w:p w14:paraId="21AC18E4">
      <w:pPr>
        <w:jc w:val="center"/>
        <w:rPr>
          <w:rFonts w:asciiTheme="minorEastAsia" w:hAnsiTheme="minorEastAsia" w:cstheme="minorEastAsia"/>
          <w:color w:val="auto"/>
          <w:kern w:val="0"/>
          <w:sz w:val="28"/>
          <w:szCs w:val="28"/>
          <w:lang w:bidi="ar"/>
        </w:rPr>
      </w:pPr>
    </w:p>
    <w:p w14:paraId="57BBEB5C">
      <w:pPr>
        <w:spacing w:before="156" w:beforeLines="50" w:after="156" w:afterLines="50"/>
        <w:jc w:val="center"/>
        <w:rPr>
          <w:rFonts w:hint="eastAsia" w:ascii="黑体" w:hAnsi="黑体" w:eastAsia="黑体" w:cs="黑体"/>
          <w:color w:val="auto"/>
          <w:kern w:val="0"/>
          <w:sz w:val="32"/>
          <w:szCs w:val="32"/>
          <w:lang w:bidi="ar"/>
        </w:rPr>
        <w:sectPr>
          <w:pgSz w:w="11906" w:h="16838"/>
          <w:pgMar w:top="1440" w:right="1800" w:bottom="1440" w:left="1800" w:header="851" w:footer="992" w:gutter="0"/>
          <w:cols w:space="425" w:num="1"/>
          <w:docGrid w:type="lines" w:linePitch="312" w:charSpace="0"/>
        </w:sectPr>
      </w:pPr>
    </w:p>
    <w:p w14:paraId="2B1CA1F7">
      <w:pPr>
        <w:spacing w:before="156" w:beforeLines="50" w:after="156" w:afterLines="50"/>
        <w:jc w:val="center"/>
        <w:rPr>
          <w:rFonts w:hint="eastAsia"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w:t>
      </w:r>
      <w:r>
        <w:rPr>
          <w:rFonts w:hint="eastAsia" w:ascii="黑体" w:hAnsi="黑体" w:eastAsia="黑体" w:cs="黑体"/>
          <w:color w:val="auto"/>
          <w:kern w:val="0"/>
          <w:sz w:val="32"/>
          <w:szCs w:val="32"/>
          <w:lang w:eastAsia="zh-CN" w:bidi="ar"/>
        </w:rPr>
        <w:t>电磁流量计型式评价大纲</w:t>
      </w:r>
      <w:r>
        <w:rPr>
          <w:rFonts w:hint="eastAsia" w:ascii="黑体" w:hAnsi="黑体" w:eastAsia="黑体" w:cs="黑体"/>
          <w:color w:val="auto"/>
          <w:kern w:val="0"/>
          <w:sz w:val="32"/>
          <w:szCs w:val="32"/>
          <w:lang w:bidi="ar"/>
        </w:rPr>
        <w:t>》</w:t>
      </w:r>
    </w:p>
    <w:p w14:paraId="354DC078">
      <w:pPr>
        <w:spacing w:before="156" w:beforeLines="50" w:after="156" w:afterLines="50"/>
        <w:jc w:val="center"/>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val="en-US" w:eastAsia="zh-CN" w:bidi="ar"/>
        </w:rPr>
        <w:t>修订</w:t>
      </w:r>
      <w:r>
        <w:rPr>
          <w:rFonts w:hint="eastAsia" w:ascii="黑体" w:hAnsi="黑体" w:eastAsia="黑体" w:cs="黑体"/>
          <w:color w:val="auto"/>
          <w:kern w:val="0"/>
          <w:sz w:val="32"/>
          <w:szCs w:val="32"/>
          <w:lang w:bidi="ar"/>
        </w:rPr>
        <w:t>编</w:t>
      </w:r>
      <w:r>
        <w:rPr>
          <w:rFonts w:hint="eastAsia" w:ascii="黑体" w:hAnsi="黑体" w:eastAsia="黑体" w:cs="黑体"/>
          <w:color w:val="auto"/>
          <w:kern w:val="0"/>
          <w:sz w:val="32"/>
          <w:szCs w:val="32"/>
          <w:lang w:val="en-US" w:eastAsia="zh-CN" w:bidi="ar"/>
        </w:rPr>
        <w:t>写</w:t>
      </w:r>
      <w:r>
        <w:rPr>
          <w:rFonts w:hint="eastAsia" w:ascii="黑体" w:hAnsi="黑体" w:eastAsia="黑体" w:cs="黑体"/>
          <w:color w:val="auto"/>
          <w:kern w:val="0"/>
          <w:sz w:val="32"/>
          <w:szCs w:val="32"/>
          <w:lang w:bidi="ar"/>
        </w:rPr>
        <w:t>说明</w:t>
      </w:r>
    </w:p>
    <w:p w14:paraId="1AA9971F">
      <w:pPr>
        <w:numPr>
          <w:ilvl w:val="0"/>
          <w:numId w:val="2"/>
        </w:numPr>
        <w:spacing w:before="156" w:beforeLines="50" w:after="156" w:afterLines="50"/>
        <w:jc w:val="left"/>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任务来源</w:t>
      </w:r>
    </w:p>
    <w:p w14:paraId="4A914D33">
      <w:pPr>
        <w:pStyle w:val="9"/>
        <w:bidi w:val="0"/>
        <w:rPr>
          <w:rFonts w:hint="eastAsia"/>
          <w:color w:val="auto"/>
        </w:rPr>
      </w:pPr>
      <w:bookmarkStart w:id="0" w:name="_Hlk149420113"/>
      <w:r>
        <w:rPr>
          <w:color w:val="auto"/>
        </w:rPr>
        <w:t>根据国家市场监督管理总局</w:t>
      </w:r>
      <w:r>
        <w:rPr>
          <w:rFonts w:hint="eastAsia"/>
          <w:color w:val="auto"/>
          <w:lang w:eastAsia="zh-CN"/>
        </w:rPr>
        <w:t>办公厅市监计量发(2025)45号“2025年国家计量技术规范项目制定、修订及宣贯计划的通知”，</w:t>
      </w:r>
      <w:r>
        <w:rPr>
          <w:color w:val="auto"/>
        </w:rPr>
        <w:t>由</w:t>
      </w:r>
      <w:r>
        <w:rPr>
          <w:rFonts w:hint="eastAsia"/>
          <w:color w:val="auto"/>
        </w:rPr>
        <w:t>全国流量计量技术委员会液体流量分技术委员会</w:t>
      </w:r>
      <w:r>
        <w:rPr>
          <w:color w:val="auto"/>
        </w:rPr>
        <w:t>（MTC3</w:t>
      </w:r>
      <w:r>
        <w:rPr>
          <w:rFonts w:hint="eastAsia"/>
          <w:color w:val="auto"/>
          <w:lang w:val="en-US" w:eastAsia="zh-CN"/>
        </w:rPr>
        <w:t>/SC1</w:t>
      </w:r>
      <w:r>
        <w:rPr>
          <w:color w:val="auto"/>
        </w:rPr>
        <w:t>）组织</w:t>
      </w:r>
      <w:r>
        <w:rPr>
          <w:rFonts w:hint="eastAsia"/>
          <w:color w:val="auto"/>
          <w:lang w:val="en-US" w:eastAsia="zh-CN"/>
        </w:rPr>
        <w:t>制</w:t>
      </w:r>
      <w:r>
        <w:rPr>
          <w:color w:val="auto"/>
        </w:rPr>
        <w:t>订《</w:t>
      </w:r>
      <w:r>
        <w:rPr>
          <w:rFonts w:hint="eastAsia"/>
          <w:color w:val="auto"/>
          <w:lang w:eastAsia="zh-CN"/>
        </w:rPr>
        <w:t>电磁流量计型式评价大纲</w:t>
      </w:r>
      <w:r>
        <w:rPr>
          <w:color w:val="auto"/>
        </w:rPr>
        <w:t>》国家计量</w:t>
      </w:r>
      <w:r>
        <w:rPr>
          <w:rFonts w:hint="eastAsia"/>
          <w:color w:val="auto"/>
          <w:lang w:val="en-US" w:eastAsia="zh-CN"/>
        </w:rPr>
        <w:t>技术规范</w:t>
      </w:r>
      <w:r>
        <w:rPr>
          <w:color w:val="auto"/>
        </w:rPr>
        <w:t>，替代</w:t>
      </w:r>
      <w:r>
        <w:rPr>
          <w:rFonts w:hint="eastAsia"/>
          <w:color w:val="auto"/>
          <w:sz w:val="24"/>
        </w:rPr>
        <w:t>1033-2007《电磁流量计》</w:t>
      </w:r>
      <w:r>
        <w:rPr>
          <w:color w:val="auto"/>
          <w:sz w:val="24"/>
        </w:rPr>
        <w:t>中</w:t>
      </w:r>
      <w:r>
        <w:rPr>
          <w:rFonts w:hint="eastAsia"/>
          <w:color w:val="auto"/>
          <w:sz w:val="24"/>
          <w:lang w:eastAsia="zh-CN"/>
        </w:rPr>
        <w:t>电磁流量计</w:t>
      </w:r>
      <w:r>
        <w:rPr>
          <w:rFonts w:hint="eastAsia"/>
          <w:color w:val="auto"/>
          <w:sz w:val="24"/>
          <w:lang w:val="en-US" w:eastAsia="zh-CN"/>
        </w:rPr>
        <w:t>型式评价</w:t>
      </w:r>
      <w:r>
        <w:rPr>
          <w:rFonts w:hint="eastAsia"/>
          <w:color w:val="auto"/>
          <w:sz w:val="24"/>
        </w:rPr>
        <w:t>对应</w:t>
      </w:r>
      <w:r>
        <w:rPr>
          <w:color w:val="auto"/>
          <w:sz w:val="24"/>
        </w:rPr>
        <w:t>部分</w:t>
      </w:r>
      <w:r>
        <w:rPr>
          <w:rFonts w:hint="eastAsia"/>
          <w:color w:val="auto"/>
          <w:sz w:val="24"/>
        </w:rPr>
        <w:t>的</w:t>
      </w:r>
      <w:r>
        <w:rPr>
          <w:color w:val="auto"/>
          <w:sz w:val="24"/>
        </w:rPr>
        <w:t>内容</w:t>
      </w:r>
      <w:r>
        <w:rPr>
          <w:color w:val="auto"/>
        </w:rPr>
        <w:t>。</w:t>
      </w:r>
      <w:bookmarkEnd w:id="0"/>
    </w:p>
    <w:p w14:paraId="7134EB08">
      <w:pPr>
        <w:pStyle w:val="9"/>
        <w:bidi w:val="0"/>
        <w:rPr>
          <w:rFonts w:hint="eastAsia"/>
          <w:color w:val="auto"/>
        </w:rPr>
      </w:pPr>
      <w:r>
        <w:rPr>
          <w:rFonts w:hint="eastAsia"/>
          <w:color w:val="auto"/>
          <w:lang w:val="en-US" w:eastAsia="zh-CN"/>
        </w:rPr>
        <w:t>本大纲</w:t>
      </w:r>
      <w:r>
        <w:rPr>
          <w:rFonts w:hint="eastAsia"/>
          <w:color w:val="auto"/>
        </w:rPr>
        <w:t>修订起草组由中国计量科学研究院、</w:t>
      </w:r>
      <w:r>
        <w:rPr>
          <w:rFonts w:hint="eastAsia"/>
          <w:color w:val="auto"/>
          <w:lang w:val="en-US" w:eastAsia="zh-CN"/>
        </w:rPr>
        <w:t>河南省计量测试科学研究院</w:t>
      </w:r>
      <w:r>
        <w:rPr>
          <w:rFonts w:hint="eastAsia"/>
          <w:color w:val="auto"/>
        </w:rPr>
        <w:t>等单位组成。</w:t>
      </w:r>
      <w:r>
        <w:rPr>
          <w:color w:val="auto"/>
        </w:rPr>
        <w:t>修订工作计划于202</w:t>
      </w:r>
      <w:r>
        <w:rPr>
          <w:rFonts w:hint="eastAsia"/>
          <w:color w:val="auto"/>
          <w:lang w:val="en-US" w:eastAsia="zh-CN"/>
        </w:rPr>
        <w:t>5</w:t>
      </w:r>
      <w:r>
        <w:rPr>
          <w:color w:val="auto"/>
        </w:rPr>
        <w:t>年年内完成。</w:t>
      </w:r>
    </w:p>
    <w:p w14:paraId="3264F018">
      <w:pPr>
        <w:pStyle w:val="9"/>
        <w:bidi w:val="0"/>
        <w:rPr>
          <w:color w:val="auto"/>
        </w:rPr>
      </w:pPr>
      <w:r>
        <w:rPr>
          <w:rFonts w:hint="eastAsia"/>
          <w:color w:val="auto"/>
        </w:rPr>
        <w:t>按照国家市场监督管理总局20</w:t>
      </w:r>
      <w:r>
        <w:rPr>
          <w:color w:val="auto"/>
        </w:rPr>
        <w:t>20</w:t>
      </w:r>
      <w:r>
        <w:rPr>
          <w:rFonts w:hint="eastAsia"/>
          <w:color w:val="auto"/>
        </w:rPr>
        <w:t>年第4</w:t>
      </w:r>
      <w:r>
        <w:rPr>
          <w:color w:val="auto"/>
        </w:rPr>
        <w:t>2</w:t>
      </w:r>
      <w:r>
        <w:rPr>
          <w:rFonts w:hint="eastAsia"/>
          <w:color w:val="auto"/>
        </w:rPr>
        <w:t>号文件《市场监管总局关于调整实施强制管理的计量器具目录的公告》要求和JJF 1051-2009《计量器具命名与分类编码分类编码》要求，本型式评价大纲适用于分类代码为12181000 公称通径不大于 DN300 电磁流量计的型式评价试验。</w:t>
      </w:r>
    </w:p>
    <w:p w14:paraId="7DE2B675">
      <w:pPr>
        <w:numPr>
          <w:ilvl w:val="0"/>
          <w:numId w:val="2"/>
        </w:numPr>
        <w:spacing w:before="156" w:beforeLines="50" w:after="156" w:afterLines="50"/>
        <w:jc w:val="left"/>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大纲修订的必要性</w:t>
      </w:r>
    </w:p>
    <w:p w14:paraId="36DB9371">
      <w:pPr>
        <w:pStyle w:val="9"/>
        <w:bidi w:val="0"/>
        <w:rPr>
          <w:rFonts w:hint="eastAsia"/>
          <w:color w:val="auto"/>
          <w:lang w:val="en-US" w:eastAsia="zh-CN"/>
        </w:rPr>
      </w:pPr>
      <w:r>
        <w:rPr>
          <w:rFonts w:hint="eastAsia"/>
          <w:color w:val="auto"/>
          <w:lang w:val="en-US" w:eastAsia="zh-CN"/>
        </w:rPr>
        <w:t>电磁流量计作为工业过程控制、贸易结算、环境监测等领域的重要计量器具，其计量准确性直接关系到我国各类液体介质交易的精准性，关系到国计民生、安全生产等多个方面，是社会经济平稳运行的重要基础。国家市场监督管理总局一直将以销售为目的的流量计列入《实施强制管理的计量器具目录》实施P+V强制管理，需获得型式批准后方能生产；用于贸易结算、环境监测的，经法定计量检定机构检定合格后方能使用。</w:t>
      </w:r>
    </w:p>
    <w:p w14:paraId="2CCB23FD">
      <w:pPr>
        <w:pStyle w:val="9"/>
        <w:bidi w:val="0"/>
        <w:rPr>
          <w:rFonts w:hint="eastAsia"/>
          <w:color w:val="auto"/>
          <w:lang w:val="en-US" w:eastAsia="zh-CN"/>
        </w:rPr>
      </w:pPr>
      <w:r>
        <w:rPr>
          <w:rFonts w:hint="eastAsia"/>
          <w:color w:val="auto"/>
          <w:lang w:val="en-US" w:eastAsia="zh-CN"/>
        </w:rPr>
        <w:t>JJG 1033-2007《电磁流量计》附录A"电磁流量计型式评价大纲"自2008年实施以来，对规范电磁流量计的型式评价工作、保证量值准确可靠发挥了重要作用。但随着我国电磁流量计制造技术的快速发展，以及型式评价技术的不断进步，原大纲已不能完全适应新形势下的型式评价工作需要：</w:t>
      </w:r>
    </w:p>
    <w:p w14:paraId="3FB9D497">
      <w:pPr>
        <w:pStyle w:val="9"/>
        <w:bidi w:val="0"/>
        <w:rPr>
          <w:rFonts w:hint="eastAsia"/>
          <w:color w:val="auto"/>
          <w:lang w:val="en-US" w:eastAsia="zh-CN"/>
        </w:rPr>
      </w:pPr>
      <w:r>
        <w:rPr>
          <w:rFonts w:hint="eastAsia"/>
          <w:color w:val="auto"/>
          <w:lang w:val="en-US" w:eastAsia="zh-CN"/>
        </w:rPr>
        <w:t>一是原大纲作为检定规程的附录存在，体例上不符合现行JJF 1015、JJF 1016的要求，需要调整为独立的JJF系列国家计量技术规范；二是国产电磁流量计在准确度、介质适用范围、使用寿命、稳定性等方面取得了长足的进步，原大纲的准确度等级设置已不能完全覆盖市场需求；三是型式评价的相关技术取得了较大发展，对于环境适应性、电磁兼容等项目的试验要求和试验等级有了新的认识；四是近年来国家发布了一系列新的计量技术规范和国家标准，如JJF 1015-2014《计量器具型式评价通用规范》、JJF 1016-2014《计量器具型式评价大纲编写导则》、JJF 1182《计量器具软件测评指南》、GB/T 18659-2023《封闭管道中流体流量的测量 电磁流量计使用指南》等，原大纲需要与现行有效标准协调一致；五是原大纲对系列产品的规定不够完善，需要补充系列产品划分原则与样机选取规则；六是原大纲部分试验项目的试验条件、操作程序、数据处理与合格判据不够细化，需要进一步完善，提高可操作性。</w:t>
      </w:r>
    </w:p>
    <w:p w14:paraId="67329FE5">
      <w:pPr>
        <w:pStyle w:val="9"/>
        <w:bidi w:val="0"/>
        <w:rPr>
          <w:rFonts w:hint="eastAsia"/>
          <w:color w:val="auto"/>
        </w:rPr>
      </w:pPr>
      <w:r>
        <w:rPr>
          <w:rFonts w:hint="eastAsia"/>
          <w:color w:val="auto"/>
          <w:lang w:val="en-US" w:eastAsia="zh-CN"/>
        </w:rPr>
        <w:t>为了更好地满足国内电磁流量计型式批准的需求，保证电磁流量计的产品质量，并依据《国家计量技术规范管理办法》规定的"积极推动采用国际法制计量组织（OIML）发布的国际计量规范及有关国际组织发布的国际技术文件"的要求，有必要对电磁流量计型式评价大纲进行修订完善。</w:t>
      </w:r>
    </w:p>
    <w:p w14:paraId="64145157">
      <w:pPr>
        <w:numPr>
          <w:ilvl w:val="0"/>
          <w:numId w:val="2"/>
        </w:numPr>
        <w:spacing w:before="156" w:beforeLines="50" w:after="156" w:afterLines="50"/>
        <w:jc w:val="left"/>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val="en-US" w:eastAsia="zh-CN" w:bidi="ar"/>
        </w:rPr>
        <w:t>大纲</w:t>
      </w:r>
      <w:r>
        <w:rPr>
          <w:rFonts w:hint="eastAsia" w:ascii="黑体" w:hAnsi="黑体" w:eastAsia="黑体" w:cs="黑体"/>
          <w:color w:val="auto"/>
          <w:kern w:val="0"/>
          <w:sz w:val="28"/>
          <w:szCs w:val="28"/>
          <w:lang w:bidi="ar"/>
        </w:rPr>
        <w:t>修订的技术依据及主要原则</w:t>
      </w:r>
    </w:p>
    <w:p w14:paraId="7694F905">
      <w:pPr>
        <w:pStyle w:val="10"/>
        <w:bidi w:val="0"/>
        <w:rPr>
          <w:rFonts w:hint="eastAsia"/>
          <w:color w:val="auto"/>
          <w:lang w:val="en-US" w:eastAsia="zh-CN"/>
        </w:rPr>
      </w:pPr>
      <w:r>
        <w:rPr>
          <w:rFonts w:hint="eastAsia"/>
          <w:color w:val="auto"/>
          <w:lang w:val="en-US" w:eastAsia="zh-CN"/>
        </w:rPr>
        <w:t>1、大纲修订的主要技术依据</w:t>
      </w:r>
    </w:p>
    <w:p w14:paraId="4191DB9B">
      <w:pPr>
        <w:pStyle w:val="9"/>
        <w:bidi w:val="0"/>
        <w:rPr>
          <w:rFonts w:hint="eastAsia"/>
          <w:color w:val="auto"/>
        </w:rPr>
      </w:pPr>
      <w:r>
        <w:rPr>
          <w:rFonts w:hint="eastAsia"/>
          <w:color w:val="auto"/>
        </w:rPr>
        <w:t>1.JJF 1001-2011 《通用计量术语及定义》</w:t>
      </w:r>
    </w:p>
    <w:p w14:paraId="3339DFF2">
      <w:pPr>
        <w:pStyle w:val="9"/>
        <w:bidi w:val="0"/>
        <w:rPr>
          <w:rFonts w:hint="eastAsia"/>
          <w:color w:val="auto"/>
        </w:rPr>
      </w:pPr>
      <w:r>
        <w:rPr>
          <w:rFonts w:hint="eastAsia"/>
          <w:color w:val="auto"/>
        </w:rPr>
        <w:t>2.JJF 1015-2014 《计量器具型式评价通用规范》</w:t>
      </w:r>
    </w:p>
    <w:p w14:paraId="50320C7F">
      <w:pPr>
        <w:pStyle w:val="9"/>
        <w:bidi w:val="0"/>
        <w:rPr>
          <w:rFonts w:hint="eastAsia"/>
          <w:color w:val="auto"/>
        </w:rPr>
      </w:pPr>
      <w:r>
        <w:rPr>
          <w:rFonts w:hint="eastAsia"/>
          <w:color w:val="auto"/>
        </w:rPr>
        <w:t>3.JJF 1016-2014 《计量器具型式评价大纲编写导则》</w:t>
      </w:r>
    </w:p>
    <w:p w14:paraId="419B03AA">
      <w:pPr>
        <w:pStyle w:val="9"/>
        <w:bidi w:val="0"/>
        <w:rPr>
          <w:rFonts w:hint="eastAsia"/>
          <w:color w:val="auto"/>
        </w:rPr>
      </w:pPr>
      <w:r>
        <w:rPr>
          <w:rFonts w:hint="eastAsia"/>
          <w:color w:val="auto"/>
        </w:rPr>
        <w:t>4.JJF 1004 《流量计量名词术语及定义》</w:t>
      </w:r>
    </w:p>
    <w:p w14:paraId="4D67B98F">
      <w:pPr>
        <w:pStyle w:val="9"/>
        <w:bidi w:val="0"/>
        <w:rPr>
          <w:rFonts w:hint="eastAsia"/>
          <w:color w:val="auto"/>
        </w:rPr>
      </w:pPr>
      <w:r>
        <w:rPr>
          <w:rFonts w:hint="eastAsia"/>
          <w:color w:val="auto"/>
        </w:rPr>
        <w:t>5.JJF 1182 《计量器具软件测评指南》</w:t>
      </w:r>
    </w:p>
    <w:p w14:paraId="001B6129">
      <w:pPr>
        <w:pStyle w:val="9"/>
        <w:bidi w:val="0"/>
        <w:rPr>
          <w:rFonts w:hint="eastAsia"/>
          <w:color w:val="auto"/>
        </w:rPr>
      </w:pPr>
      <w:r>
        <w:rPr>
          <w:rFonts w:hint="eastAsia"/>
          <w:color w:val="auto"/>
        </w:rPr>
        <w:t>6.JJF 1059.1 《测量不确定度评定与表示》</w:t>
      </w:r>
    </w:p>
    <w:p w14:paraId="0531FF31">
      <w:pPr>
        <w:pStyle w:val="9"/>
        <w:bidi w:val="0"/>
        <w:rPr>
          <w:rFonts w:hint="eastAsia"/>
          <w:color w:val="auto"/>
        </w:rPr>
      </w:pPr>
      <w:r>
        <w:rPr>
          <w:rFonts w:hint="eastAsia"/>
          <w:color w:val="auto"/>
        </w:rPr>
        <w:t>7.GB/T 18659 《封闭管道中流体流量的测量 电磁流量计使用指南》</w:t>
      </w:r>
    </w:p>
    <w:p w14:paraId="3CADB028">
      <w:pPr>
        <w:pStyle w:val="9"/>
        <w:bidi w:val="0"/>
        <w:rPr>
          <w:rFonts w:hint="eastAsia"/>
          <w:color w:val="auto"/>
        </w:rPr>
      </w:pPr>
      <w:r>
        <w:rPr>
          <w:rFonts w:hint="eastAsia"/>
          <w:color w:val="auto"/>
        </w:rPr>
        <w:t>8.ISO 20456:2017 《封闭满管道流体流量的测量 导电液体电磁流量计使用指南》</w:t>
      </w:r>
    </w:p>
    <w:p w14:paraId="2E3F1CF5">
      <w:pPr>
        <w:pStyle w:val="9"/>
        <w:bidi w:val="0"/>
        <w:rPr>
          <w:rFonts w:hint="eastAsia"/>
          <w:color w:val="auto"/>
        </w:rPr>
      </w:pPr>
      <w:r>
        <w:rPr>
          <w:rFonts w:hint="eastAsia"/>
          <w:color w:val="auto"/>
        </w:rPr>
        <w:t>9.JB/T 9248 《电磁流量计》</w:t>
      </w:r>
    </w:p>
    <w:p w14:paraId="3268D10A">
      <w:pPr>
        <w:pStyle w:val="9"/>
        <w:bidi w:val="0"/>
        <w:rPr>
          <w:rFonts w:hint="eastAsia"/>
          <w:color w:val="auto"/>
        </w:rPr>
      </w:pPr>
      <w:r>
        <w:rPr>
          <w:rFonts w:hint="eastAsia"/>
          <w:color w:val="auto"/>
        </w:rPr>
        <w:t>10.GB/T 2423系列 《电工电子产品环境试验》</w:t>
      </w:r>
    </w:p>
    <w:p w14:paraId="07CDECF4">
      <w:pPr>
        <w:pStyle w:val="9"/>
        <w:bidi w:val="0"/>
        <w:rPr>
          <w:rFonts w:hint="eastAsia"/>
          <w:color w:val="auto"/>
        </w:rPr>
      </w:pPr>
      <w:r>
        <w:rPr>
          <w:rFonts w:hint="eastAsia"/>
          <w:color w:val="auto"/>
        </w:rPr>
        <w:t>11.GB/T 17626系列 《电磁兼容 试验和测量技术》</w:t>
      </w:r>
    </w:p>
    <w:p w14:paraId="1763FEDE">
      <w:pPr>
        <w:pStyle w:val="9"/>
        <w:bidi w:val="0"/>
        <w:rPr>
          <w:rFonts w:hint="eastAsia"/>
          <w:color w:val="auto"/>
        </w:rPr>
      </w:pPr>
      <w:r>
        <w:rPr>
          <w:rFonts w:hint="eastAsia"/>
          <w:color w:val="auto"/>
        </w:rPr>
        <w:t>12.GB/T 22133 《流体流量测量 流量计性能表述方法》</w:t>
      </w:r>
    </w:p>
    <w:p w14:paraId="7443792F">
      <w:pPr>
        <w:pStyle w:val="9"/>
        <w:bidi w:val="0"/>
        <w:rPr>
          <w:color w:val="auto"/>
        </w:rPr>
      </w:pPr>
      <w:r>
        <w:rPr>
          <w:rFonts w:hint="eastAsia"/>
          <w:color w:val="auto"/>
          <w:lang w:val="en-US" w:eastAsia="zh-CN"/>
        </w:rPr>
        <w:t>13.</w:t>
      </w:r>
      <w:r>
        <w:rPr>
          <w:rFonts w:hint="eastAsia"/>
          <w:color w:val="auto"/>
        </w:rPr>
        <w:t>GB/T 4208 《外壳防护等级（IP代码）》</w:t>
      </w:r>
    </w:p>
    <w:p w14:paraId="5188F36F">
      <w:pPr>
        <w:pStyle w:val="10"/>
        <w:bidi w:val="0"/>
        <w:rPr>
          <w:rFonts w:hint="eastAsia"/>
          <w:color w:val="auto"/>
          <w:lang w:val="en-US" w:eastAsia="zh-CN"/>
        </w:rPr>
      </w:pPr>
      <w:r>
        <w:rPr>
          <w:rFonts w:hint="eastAsia"/>
          <w:color w:val="auto"/>
          <w:lang w:val="en-US" w:eastAsia="zh-CN"/>
        </w:rPr>
        <w:t>2、大纲修订的主要原则</w:t>
      </w:r>
    </w:p>
    <w:p w14:paraId="6782FD6A">
      <w:pPr>
        <w:pStyle w:val="9"/>
        <w:bidi w:val="0"/>
        <w:rPr>
          <w:color w:val="auto"/>
        </w:rPr>
      </w:pPr>
      <w:r>
        <w:rPr>
          <w:rFonts w:hint="eastAsia"/>
          <w:color w:val="auto"/>
        </w:rPr>
        <w:t>本大纲按照JJF 1015-2014《计量器具型式评价通用规范》、JJF 1016-2014《计量器具型式评价大纲编写导则》要求编写。适用于电磁流量计的型式评价试验。</w:t>
      </w:r>
    </w:p>
    <w:p w14:paraId="7A09B7A1">
      <w:pPr>
        <w:pStyle w:val="9"/>
        <w:bidi w:val="0"/>
        <w:rPr>
          <w:color w:val="auto"/>
        </w:rPr>
      </w:pPr>
      <w:r>
        <w:rPr>
          <w:rFonts w:hint="eastAsia"/>
          <w:color w:val="auto"/>
        </w:rPr>
        <w:t>在编制过程中起草小组掌握以下几个原则：</w:t>
      </w:r>
    </w:p>
    <w:p w14:paraId="503A58FF">
      <w:pPr>
        <w:pStyle w:val="9"/>
        <w:bidi w:val="0"/>
        <w:rPr>
          <w:rFonts w:hint="eastAsia"/>
          <w:color w:val="auto"/>
        </w:rPr>
      </w:pPr>
      <w:r>
        <w:rPr>
          <w:rFonts w:hint="eastAsia"/>
          <w:color w:val="auto"/>
        </w:rPr>
        <w:t>1.科学性原则：以科学理论为基础，结合大量的试验验证数据，确保大纲的技术要求和试验方法科学合理。</w:t>
      </w:r>
    </w:p>
    <w:p w14:paraId="018B51C3">
      <w:pPr>
        <w:pStyle w:val="9"/>
        <w:bidi w:val="0"/>
        <w:rPr>
          <w:rFonts w:hint="eastAsia"/>
          <w:color w:val="auto"/>
        </w:rPr>
      </w:pPr>
      <w:r>
        <w:rPr>
          <w:rFonts w:hint="eastAsia"/>
          <w:color w:val="auto"/>
        </w:rPr>
        <w:t>2.先进性原则：积极采用国际标准和国外先进标准，结合我国电磁流量计制造和检定的实际情况，使大纲的技术指标和试验方法达到国际先进水平。</w:t>
      </w:r>
    </w:p>
    <w:p w14:paraId="020F1096">
      <w:pPr>
        <w:pStyle w:val="9"/>
        <w:bidi w:val="0"/>
        <w:rPr>
          <w:rFonts w:hint="eastAsia"/>
          <w:color w:val="auto"/>
        </w:rPr>
      </w:pPr>
      <w:r>
        <w:rPr>
          <w:rFonts w:hint="eastAsia"/>
          <w:color w:val="auto"/>
        </w:rPr>
        <w:t>3.合理性原则：充分考虑我国电磁流量计的生产和使用现状，合理设置技术要求和试验项目，既要保证产品质量，又要兼顾经济合理，减轻企业负担。</w:t>
      </w:r>
    </w:p>
    <w:p w14:paraId="57E5FC83">
      <w:pPr>
        <w:pStyle w:val="9"/>
        <w:bidi w:val="0"/>
        <w:rPr>
          <w:color w:val="auto"/>
        </w:rPr>
      </w:pPr>
      <w:r>
        <w:rPr>
          <w:rFonts w:hint="eastAsia"/>
          <w:color w:val="auto"/>
          <w:lang w:val="en-US" w:eastAsia="zh-CN"/>
        </w:rPr>
        <w:t>4.</w:t>
      </w:r>
      <w:r>
        <w:rPr>
          <w:rFonts w:hint="eastAsia"/>
          <w:color w:val="auto"/>
        </w:rPr>
        <w:t>可操作性原则：试验方法和试验程序要具体明确，便于型式评价机构操作执行，确保型式评价结果的一致性和可靠性。</w:t>
      </w:r>
    </w:p>
    <w:p w14:paraId="0D5D3E48">
      <w:pPr>
        <w:pStyle w:val="9"/>
        <w:bidi w:val="0"/>
        <w:rPr>
          <w:color w:val="auto"/>
        </w:rPr>
      </w:pPr>
      <w:r>
        <w:rPr>
          <w:rFonts w:hint="eastAsia"/>
          <w:color w:val="auto"/>
        </w:rPr>
        <w:t>电磁流量计型式评价大纲需从国内实际情况出发，使型式评价工作能够顺利进行。电磁流量计的型式评价大纲既要体现严肃性和公正性，又要符合中国目前的实际情况，要求具有高度可操作性、可执行性和实用性，流量计型式评价实验室在原有的型式评价试验装置的基础上不需要投入</w:t>
      </w:r>
      <w:r>
        <w:rPr>
          <w:rFonts w:hint="eastAsia"/>
          <w:color w:val="auto"/>
          <w:lang w:val="en-US" w:eastAsia="zh-CN"/>
        </w:rPr>
        <w:t>大量经费</w:t>
      </w:r>
      <w:r>
        <w:rPr>
          <w:rFonts w:hint="eastAsia"/>
          <w:color w:val="auto"/>
        </w:rPr>
        <w:t>改造或者升级来满足新大纲在试验装置方面要求。</w:t>
      </w:r>
    </w:p>
    <w:p w14:paraId="13F5E5AA">
      <w:pPr>
        <w:pStyle w:val="9"/>
        <w:bidi w:val="0"/>
        <w:rPr>
          <w:color w:val="auto"/>
        </w:rPr>
      </w:pPr>
      <w:r>
        <w:rPr>
          <w:rFonts w:hint="eastAsia"/>
          <w:color w:val="auto"/>
        </w:rPr>
        <w:t>与现行国际国内标准和文件保持一致，结合生产、使用及标准装置现状确定技术指标和</w:t>
      </w:r>
      <w:r>
        <w:rPr>
          <w:rFonts w:hint="eastAsia"/>
          <w:color w:val="auto"/>
          <w:lang w:val="en-US" w:eastAsia="zh-CN"/>
        </w:rPr>
        <w:t>试验</w:t>
      </w:r>
      <w:r>
        <w:rPr>
          <w:rFonts w:hint="eastAsia"/>
          <w:color w:val="auto"/>
        </w:rPr>
        <w:t>方法，使之科学、合理、可行。</w:t>
      </w:r>
    </w:p>
    <w:p w14:paraId="47C7F8BC">
      <w:pPr>
        <w:numPr>
          <w:ilvl w:val="0"/>
          <w:numId w:val="2"/>
        </w:numPr>
        <w:spacing w:before="156" w:beforeLines="50" w:after="156" w:afterLines="50"/>
        <w:jc w:val="left"/>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val="en-US" w:eastAsia="zh-CN" w:bidi="ar"/>
        </w:rPr>
        <w:t>大纲</w:t>
      </w:r>
      <w:r>
        <w:rPr>
          <w:rFonts w:hint="eastAsia" w:ascii="黑体" w:hAnsi="黑体" w:eastAsia="黑体" w:cs="黑体"/>
          <w:color w:val="auto"/>
          <w:kern w:val="0"/>
          <w:sz w:val="28"/>
          <w:szCs w:val="28"/>
          <w:lang w:bidi="ar"/>
        </w:rPr>
        <w:t>修订过程</w:t>
      </w:r>
    </w:p>
    <w:p w14:paraId="6EB08A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Times New Roman"/>
          <w:color w:val="auto"/>
          <w:sz w:val="24"/>
        </w:rPr>
      </w:pPr>
      <w:r>
        <w:rPr>
          <w:rFonts w:hint="eastAsia" w:ascii="黑体" w:hAnsi="黑体" w:eastAsia="黑体" w:cs="Times New Roman"/>
          <w:color w:val="auto"/>
          <w:sz w:val="24"/>
        </w:rPr>
        <w:t xml:space="preserve">第一阶段：起草工作和试验验证阶段 </w:t>
      </w:r>
    </w:p>
    <w:p w14:paraId="5B9CD1FB">
      <w:pPr>
        <w:pStyle w:val="9"/>
        <w:bidi w:val="0"/>
        <w:rPr>
          <w:rFonts w:hint="default"/>
          <w:color w:val="auto"/>
          <w:lang w:val="en-US" w:eastAsia="zh-CN"/>
        </w:rPr>
      </w:pPr>
      <w:r>
        <w:rPr>
          <w:rFonts w:hint="eastAsia"/>
          <w:color w:val="auto"/>
          <w:lang w:val="en-US" w:eastAsia="zh-CN"/>
        </w:rPr>
        <w:t>1.2024年12月起草组完成了项目申报材料及大纲草稿；</w:t>
      </w:r>
    </w:p>
    <w:p w14:paraId="57ACEF50">
      <w:pPr>
        <w:pStyle w:val="9"/>
        <w:bidi w:val="0"/>
        <w:rPr>
          <w:color w:val="auto"/>
        </w:rPr>
      </w:pPr>
      <w:r>
        <w:rPr>
          <w:rFonts w:hint="eastAsia"/>
          <w:color w:val="auto"/>
          <w:lang w:val="en-US" w:eastAsia="zh-CN"/>
        </w:rPr>
        <w:t>2.</w:t>
      </w:r>
      <w:r>
        <w:rPr>
          <w:rFonts w:hint="eastAsia"/>
          <w:color w:val="auto"/>
        </w:rPr>
        <w:t>2</w:t>
      </w:r>
      <w:r>
        <w:rPr>
          <w:color w:val="auto"/>
        </w:rPr>
        <w:t>02</w:t>
      </w:r>
      <w:r>
        <w:rPr>
          <w:rFonts w:hint="eastAsia"/>
          <w:color w:val="auto"/>
          <w:lang w:val="en-US" w:eastAsia="zh-CN"/>
        </w:rPr>
        <w:t>5</w:t>
      </w:r>
      <w:r>
        <w:rPr>
          <w:color w:val="auto"/>
        </w:rPr>
        <w:t>年</w:t>
      </w:r>
      <w:r>
        <w:rPr>
          <w:rFonts w:hint="eastAsia"/>
          <w:color w:val="auto"/>
          <w:lang w:val="en-US" w:eastAsia="zh-CN"/>
        </w:rPr>
        <w:t>1</w:t>
      </w:r>
      <w:r>
        <w:rPr>
          <w:color w:val="auto"/>
        </w:rPr>
        <w:t>月</w:t>
      </w:r>
      <w:r>
        <w:rPr>
          <w:rFonts w:hint="eastAsia"/>
          <w:color w:val="auto"/>
          <w:lang w:val="en-US" w:eastAsia="zh-CN"/>
        </w:rPr>
        <w:t>23</w:t>
      </w:r>
      <w:r>
        <w:rPr>
          <w:color w:val="auto"/>
        </w:rPr>
        <w:t>日</w:t>
      </w:r>
      <w:r>
        <w:rPr>
          <w:rFonts w:hint="eastAsia"/>
          <w:color w:val="auto"/>
        </w:rPr>
        <w:t>召开了起草组首次线</w:t>
      </w:r>
      <w:r>
        <w:rPr>
          <w:rFonts w:hint="eastAsia"/>
          <w:color w:val="auto"/>
          <w:lang w:val="en-US" w:eastAsia="zh-CN"/>
        </w:rPr>
        <w:t>上</w:t>
      </w:r>
      <w:r>
        <w:rPr>
          <w:rFonts w:hint="eastAsia"/>
          <w:color w:val="auto"/>
        </w:rPr>
        <w:t>会议，初步讨论了</w:t>
      </w:r>
      <w:r>
        <w:rPr>
          <w:rFonts w:hint="eastAsia"/>
          <w:color w:val="auto"/>
          <w:lang w:val="en-US" w:eastAsia="zh-CN"/>
        </w:rPr>
        <w:t>大纲</w:t>
      </w:r>
      <w:r>
        <w:rPr>
          <w:rFonts w:hint="eastAsia"/>
          <w:color w:val="auto"/>
        </w:rPr>
        <w:t>修订的思路及主体框架；</w:t>
      </w:r>
      <w:r>
        <w:rPr>
          <w:rFonts w:hint="eastAsia"/>
          <w:color w:val="auto"/>
          <w:lang w:val="en-US" w:eastAsia="zh-CN"/>
        </w:rPr>
        <w:t>对新大纲的适用范围、流量计准确度等级、重复性指标、试验流量范围等修订要点进行了讨论</w:t>
      </w:r>
      <w:r>
        <w:rPr>
          <w:rFonts w:hint="eastAsia"/>
          <w:color w:val="auto"/>
        </w:rPr>
        <w:t>；</w:t>
      </w:r>
    </w:p>
    <w:p w14:paraId="3EE91472">
      <w:pPr>
        <w:pStyle w:val="9"/>
        <w:bidi w:val="0"/>
        <w:rPr>
          <w:rFonts w:hint="eastAsia"/>
          <w:color w:val="auto"/>
        </w:rPr>
      </w:pPr>
      <w:r>
        <w:rPr>
          <w:rFonts w:hint="eastAsia"/>
          <w:color w:val="auto"/>
          <w:lang w:val="en-US" w:eastAsia="zh-CN"/>
        </w:rPr>
        <w:t>3.</w:t>
      </w:r>
      <w:r>
        <w:rPr>
          <w:rFonts w:hint="eastAsia"/>
          <w:color w:val="auto"/>
        </w:rPr>
        <w:t>2</w:t>
      </w:r>
      <w:r>
        <w:rPr>
          <w:color w:val="auto"/>
        </w:rPr>
        <w:t>02</w:t>
      </w:r>
      <w:r>
        <w:rPr>
          <w:rFonts w:hint="eastAsia"/>
          <w:color w:val="auto"/>
          <w:lang w:val="en-US" w:eastAsia="zh-CN"/>
        </w:rPr>
        <w:t>5</w:t>
      </w:r>
      <w:r>
        <w:rPr>
          <w:color w:val="auto"/>
        </w:rPr>
        <w:t>年</w:t>
      </w:r>
      <w:r>
        <w:rPr>
          <w:rFonts w:hint="eastAsia"/>
          <w:color w:val="auto"/>
          <w:lang w:val="en-US" w:eastAsia="zh-CN"/>
        </w:rPr>
        <w:t>4</w:t>
      </w:r>
      <w:r>
        <w:rPr>
          <w:color w:val="auto"/>
        </w:rPr>
        <w:t>月</w:t>
      </w:r>
      <w:r>
        <w:rPr>
          <w:rFonts w:hint="eastAsia"/>
          <w:color w:val="auto"/>
        </w:rPr>
        <w:t>1</w:t>
      </w:r>
      <w:r>
        <w:rPr>
          <w:rFonts w:hint="eastAsia"/>
          <w:color w:val="auto"/>
          <w:lang w:val="en-US" w:eastAsia="zh-CN"/>
        </w:rPr>
        <w:t>6</w:t>
      </w:r>
      <w:r>
        <w:rPr>
          <w:color w:val="auto"/>
        </w:rPr>
        <w:t>日在</w:t>
      </w:r>
      <w:r>
        <w:rPr>
          <w:rFonts w:hint="eastAsia"/>
          <w:color w:val="auto"/>
          <w:lang w:val="en-US" w:eastAsia="zh-CN"/>
        </w:rPr>
        <w:t>上饶市</w:t>
      </w:r>
      <w:r>
        <w:rPr>
          <w:color w:val="auto"/>
        </w:rPr>
        <w:t>召开起草组</w:t>
      </w:r>
      <w:r>
        <w:rPr>
          <w:rFonts w:hint="eastAsia"/>
          <w:color w:val="auto"/>
        </w:rPr>
        <w:t>第</w:t>
      </w:r>
      <w:r>
        <w:rPr>
          <w:rFonts w:hint="eastAsia"/>
          <w:color w:val="auto"/>
          <w:lang w:val="en-US" w:eastAsia="zh-CN"/>
        </w:rPr>
        <w:t>一</w:t>
      </w:r>
      <w:r>
        <w:rPr>
          <w:color w:val="auto"/>
        </w:rPr>
        <w:t>次</w:t>
      </w:r>
      <w:r>
        <w:rPr>
          <w:rFonts w:hint="eastAsia"/>
          <w:color w:val="auto"/>
        </w:rPr>
        <w:t>线下</w:t>
      </w:r>
      <w:r>
        <w:rPr>
          <w:color w:val="auto"/>
        </w:rPr>
        <w:t>会议，就</w:t>
      </w:r>
      <w:r>
        <w:rPr>
          <w:rFonts w:hint="eastAsia"/>
          <w:color w:val="auto"/>
          <w:lang w:val="en-US" w:eastAsia="zh-CN"/>
        </w:rPr>
        <w:t>大纲</w:t>
      </w:r>
      <w:r>
        <w:rPr>
          <w:color w:val="auto"/>
        </w:rPr>
        <w:t>应</w:t>
      </w:r>
      <w:r>
        <w:rPr>
          <w:rFonts w:hint="eastAsia"/>
          <w:color w:val="auto"/>
          <w:lang w:val="en-US" w:eastAsia="zh-CN"/>
        </w:rPr>
        <w:t>开展的试验，应</w:t>
      </w:r>
      <w:r>
        <w:rPr>
          <w:color w:val="auto"/>
        </w:rPr>
        <w:t>包含的内容、主要技术指标等问题进行了讨论，对下阶段工作进行了分工，</w:t>
      </w:r>
      <w:r>
        <w:rPr>
          <w:rFonts w:hint="eastAsia"/>
          <w:color w:val="auto"/>
          <w:lang w:val="en-US" w:eastAsia="zh-CN"/>
        </w:rPr>
        <w:t>并对</w:t>
      </w:r>
      <w:r>
        <w:rPr>
          <w:color w:val="auto"/>
        </w:rPr>
        <w:t>重要</w:t>
      </w:r>
      <w:r>
        <w:rPr>
          <w:rFonts w:hint="eastAsia"/>
          <w:color w:val="auto"/>
          <w:lang w:val="en-US" w:eastAsia="zh-CN"/>
        </w:rPr>
        <w:t>试验</w:t>
      </w:r>
      <w:r>
        <w:rPr>
          <w:rFonts w:hint="eastAsia"/>
          <w:color w:val="auto"/>
        </w:rPr>
        <w:t>项目进行了工作部署；</w:t>
      </w:r>
    </w:p>
    <w:p w14:paraId="34102D9A">
      <w:pPr>
        <w:pStyle w:val="9"/>
        <w:bidi w:val="0"/>
        <w:rPr>
          <w:rFonts w:hint="eastAsia"/>
          <w:color w:val="auto"/>
        </w:rPr>
      </w:pPr>
      <w:r>
        <w:rPr>
          <w:rFonts w:hint="eastAsia"/>
          <w:color w:val="auto"/>
          <w:sz w:val="24"/>
          <w:lang w:val="en-US" w:eastAsia="zh-CN"/>
        </w:rPr>
        <w:t>4.</w:t>
      </w:r>
      <w:r>
        <w:rPr>
          <w:rFonts w:hint="eastAsia"/>
          <w:color w:val="auto"/>
          <w:sz w:val="24"/>
        </w:rPr>
        <w:t>20</w:t>
      </w:r>
      <w:r>
        <w:rPr>
          <w:color w:val="auto"/>
          <w:sz w:val="24"/>
        </w:rPr>
        <w:t>2</w:t>
      </w:r>
      <w:r>
        <w:rPr>
          <w:rFonts w:hint="eastAsia"/>
          <w:color w:val="auto"/>
          <w:sz w:val="24"/>
          <w:lang w:val="en-US" w:eastAsia="zh-CN"/>
        </w:rPr>
        <w:t>5</w:t>
      </w:r>
      <w:r>
        <w:rPr>
          <w:rFonts w:hint="eastAsia"/>
          <w:color w:val="auto"/>
          <w:sz w:val="24"/>
        </w:rPr>
        <w:t>年</w:t>
      </w:r>
      <w:r>
        <w:rPr>
          <w:rFonts w:hint="eastAsia"/>
          <w:color w:val="auto"/>
          <w:sz w:val="24"/>
          <w:lang w:val="en-US" w:eastAsia="zh-CN"/>
        </w:rPr>
        <w:t>5</w:t>
      </w:r>
      <w:r>
        <w:rPr>
          <w:color w:val="auto"/>
          <w:sz w:val="24"/>
        </w:rPr>
        <w:t>月</w:t>
      </w:r>
      <w:r>
        <w:rPr>
          <w:rFonts w:hint="eastAsia"/>
          <w:color w:val="auto"/>
          <w:sz w:val="24"/>
        </w:rPr>
        <w:t>任务下达，</w:t>
      </w:r>
      <w:r>
        <w:rPr>
          <w:rFonts w:hint="eastAsia"/>
          <w:color w:val="auto"/>
          <w:sz w:val="24"/>
          <w:lang w:val="en-US" w:eastAsia="zh-CN"/>
        </w:rPr>
        <w:t>起草组正式成立</w:t>
      </w:r>
      <w:r>
        <w:rPr>
          <w:rFonts w:hint="eastAsia"/>
          <w:color w:val="auto"/>
          <w:sz w:val="24"/>
        </w:rPr>
        <w:t>；</w:t>
      </w:r>
    </w:p>
    <w:p w14:paraId="6A8802C9">
      <w:pPr>
        <w:pStyle w:val="9"/>
        <w:bidi w:val="0"/>
        <w:rPr>
          <w:color w:val="auto"/>
        </w:rPr>
      </w:pPr>
      <w:r>
        <w:rPr>
          <w:rFonts w:hint="eastAsia"/>
          <w:color w:val="auto"/>
          <w:lang w:val="en-US" w:eastAsia="zh-CN"/>
        </w:rPr>
        <w:t>5.</w:t>
      </w:r>
      <w:r>
        <w:rPr>
          <w:color w:val="auto"/>
        </w:rPr>
        <w:t>202</w:t>
      </w:r>
      <w:r>
        <w:rPr>
          <w:rFonts w:hint="eastAsia"/>
          <w:color w:val="auto"/>
          <w:lang w:val="en-US" w:eastAsia="zh-CN"/>
        </w:rPr>
        <w:t>5</w:t>
      </w:r>
      <w:r>
        <w:rPr>
          <w:color w:val="auto"/>
        </w:rPr>
        <w:t>年</w:t>
      </w:r>
      <w:r>
        <w:rPr>
          <w:rFonts w:hint="eastAsia"/>
          <w:color w:val="auto"/>
          <w:lang w:val="en-US" w:eastAsia="zh-CN"/>
        </w:rPr>
        <w:t>5</w:t>
      </w:r>
      <w:r>
        <w:rPr>
          <w:color w:val="auto"/>
        </w:rPr>
        <w:t>月至</w:t>
      </w:r>
      <w:r>
        <w:rPr>
          <w:color w:val="auto"/>
          <w:sz w:val="24"/>
        </w:rPr>
        <w:t>202</w:t>
      </w:r>
      <w:r>
        <w:rPr>
          <w:rFonts w:hint="eastAsia"/>
          <w:color w:val="auto"/>
          <w:sz w:val="24"/>
          <w:lang w:val="en-US" w:eastAsia="zh-CN"/>
        </w:rPr>
        <w:t>5</w:t>
      </w:r>
      <w:r>
        <w:rPr>
          <w:color w:val="auto"/>
          <w:sz w:val="24"/>
        </w:rPr>
        <w:t>年</w:t>
      </w:r>
      <w:r>
        <w:rPr>
          <w:rFonts w:hint="eastAsia"/>
          <w:color w:val="auto"/>
          <w:sz w:val="24"/>
          <w:lang w:val="en-US" w:eastAsia="zh-CN"/>
        </w:rPr>
        <w:t>10</w:t>
      </w:r>
      <w:r>
        <w:rPr>
          <w:color w:val="auto"/>
          <w:sz w:val="24"/>
        </w:rPr>
        <w:t>月，</w:t>
      </w:r>
      <w:r>
        <w:rPr>
          <w:rFonts w:hint="eastAsia"/>
          <w:color w:val="auto"/>
          <w:sz w:val="24"/>
        </w:rPr>
        <w:t>起草组开展了进一步的</w:t>
      </w:r>
      <w:r>
        <w:rPr>
          <w:rFonts w:hint="eastAsia"/>
          <w:color w:val="auto"/>
          <w:sz w:val="24"/>
          <w:lang w:val="en-US" w:eastAsia="zh-CN"/>
        </w:rPr>
        <w:t>标准调研</w:t>
      </w:r>
      <w:r>
        <w:rPr>
          <w:color w:val="auto"/>
          <w:sz w:val="24"/>
        </w:rPr>
        <w:t>、实验和</w:t>
      </w:r>
      <w:r>
        <w:rPr>
          <w:rFonts w:hint="eastAsia"/>
          <w:color w:val="auto"/>
          <w:sz w:val="24"/>
        </w:rPr>
        <w:t>编写</w:t>
      </w:r>
      <w:r>
        <w:rPr>
          <w:color w:val="auto"/>
          <w:sz w:val="24"/>
        </w:rPr>
        <w:t>工作</w:t>
      </w:r>
      <w:r>
        <w:rPr>
          <w:rFonts w:hint="eastAsia"/>
          <w:color w:val="auto"/>
          <w:sz w:val="24"/>
          <w:lang w:eastAsia="zh-CN"/>
        </w:rPr>
        <w:t>，</w:t>
      </w:r>
      <w:r>
        <w:rPr>
          <w:rFonts w:hint="eastAsia"/>
          <w:color w:val="auto"/>
          <w:sz w:val="24"/>
          <w:lang w:val="en-US" w:eastAsia="zh-CN"/>
        </w:rPr>
        <w:t>形成了型式评价大纲初稿</w:t>
      </w:r>
      <w:r>
        <w:rPr>
          <w:color w:val="auto"/>
        </w:rPr>
        <w:t>；</w:t>
      </w:r>
    </w:p>
    <w:p w14:paraId="2FC5413F">
      <w:pPr>
        <w:pStyle w:val="9"/>
        <w:bidi w:val="0"/>
        <w:rPr>
          <w:color w:val="auto"/>
        </w:rPr>
      </w:pPr>
      <w:r>
        <w:rPr>
          <w:rFonts w:hint="eastAsia"/>
          <w:color w:val="auto"/>
          <w:lang w:val="en-US" w:eastAsia="zh-CN"/>
        </w:rPr>
        <w:t>6.</w:t>
      </w:r>
      <w:r>
        <w:rPr>
          <w:color w:val="auto"/>
          <w:sz w:val="24"/>
        </w:rPr>
        <w:t>202</w:t>
      </w:r>
      <w:r>
        <w:rPr>
          <w:rFonts w:hint="eastAsia"/>
          <w:color w:val="auto"/>
          <w:sz w:val="24"/>
          <w:lang w:val="en-US" w:eastAsia="zh-CN"/>
        </w:rPr>
        <w:t>5</w:t>
      </w:r>
      <w:r>
        <w:rPr>
          <w:color w:val="auto"/>
          <w:sz w:val="24"/>
        </w:rPr>
        <w:t>年</w:t>
      </w:r>
      <w:r>
        <w:rPr>
          <w:rFonts w:hint="eastAsia"/>
          <w:color w:val="auto"/>
          <w:sz w:val="24"/>
          <w:lang w:val="en-US" w:eastAsia="zh-CN"/>
        </w:rPr>
        <w:t>11</w:t>
      </w:r>
      <w:r>
        <w:rPr>
          <w:color w:val="auto"/>
          <w:sz w:val="24"/>
        </w:rPr>
        <w:t>月</w:t>
      </w:r>
      <w:r>
        <w:rPr>
          <w:rFonts w:hint="eastAsia"/>
          <w:color w:val="auto"/>
          <w:sz w:val="24"/>
          <w:lang w:val="en-US" w:eastAsia="zh-CN"/>
        </w:rPr>
        <w:t>5</w:t>
      </w:r>
      <w:r>
        <w:rPr>
          <w:color w:val="auto"/>
          <w:sz w:val="24"/>
        </w:rPr>
        <w:t>日，起草组召开了</w:t>
      </w:r>
      <w:r>
        <w:rPr>
          <w:rFonts w:hint="eastAsia"/>
          <w:color w:val="auto"/>
          <w:sz w:val="24"/>
          <w:lang w:val="en-US" w:eastAsia="zh-CN"/>
        </w:rPr>
        <w:t>线上大纲研讨会，重点</w:t>
      </w:r>
      <w:r>
        <w:rPr>
          <w:color w:val="auto"/>
          <w:sz w:val="24"/>
        </w:rPr>
        <w:t>针对</w:t>
      </w:r>
      <w:r>
        <w:rPr>
          <w:rFonts w:hint="eastAsia"/>
          <w:color w:val="auto"/>
          <w:sz w:val="24"/>
          <w:lang w:val="en-US" w:eastAsia="zh-CN"/>
        </w:rPr>
        <w:t>准确度等级、试验项目、对上游直管段适用性</w:t>
      </w:r>
      <w:r>
        <w:rPr>
          <w:color w:val="auto"/>
          <w:sz w:val="24"/>
        </w:rPr>
        <w:t>等关键</w:t>
      </w:r>
      <w:r>
        <w:rPr>
          <w:rFonts w:hint="eastAsia"/>
          <w:color w:val="auto"/>
          <w:sz w:val="24"/>
          <w:lang w:eastAsia="zh-CN"/>
        </w:rPr>
        <w:t>部分作</w:t>
      </w:r>
      <w:r>
        <w:rPr>
          <w:color w:val="auto"/>
          <w:sz w:val="24"/>
        </w:rPr>
        <w:t>了</w:t>
      </w:r>
      <w:r>
        <w:rPr>
          <w:rFonts w:hint="eastAsia"/>
          <w:color w:val="auto"/>
          <w:sz w:val="24"/>
          <w:lang w:val="en-US" w:eastAsia="zh-CN"/>
        </w:rPr>
        <w:t>重点研讨</w:t>
      </w:r>
      <w:r>
        <w:rPr>
          <w:color w:val="auto"/>
          <w:sz w:val="24"/>
        </w:rPr>
        <w:t>，根据讨论结果</w:t>
      </w:r>
      <w:r>
        <w:rPr>
          <w:rFonts w:hint="eastAsia"/>
          <w:color w:val="auto"/>
          <w:sz w:val="24"/>
        </w:rPr>
        <w:t>，</w:t>
      </w:r>
      <w:r>
        <w:rPr>
          <w:color w:val="auto"/>
          <w:sz w:val="24"/>
        </w:rPr>
        <w:t>进一步修改</w:t>
      </w:r>
      <w:r>
        <w:rPr>
          <w:rFonts w:hint="eastAsia"/>
          <w:color w:val="auto"/>
          <w:sz w:val="24"/>
          <w:lang w:val="en-US" w:eastAsia="zh-CN"/>
        </w:rPr>
        <w:t>大纲</w:t>
      </w:r>
      <w:r>
        <w:rPr>
          <w:rFonts w:hint="eastAsia"/>
          <w:color w:val="auto"/>
          <w:sz w:val="24"/>
          <w:lang w:eastAsia="zh-CN"/>
        </w:rPr>
        <w:t>，</w:t>
      </w:r>
      <w:r>
        <w:rPr>
          <w:rFonts w:hint="eastAsia"/>
          <w:color w:val="auto"/>
          <w:sz w:val="24"/>
          <w:lang w:val="en-US" w:eastAsia="zh-CN"/>
        </w:rPr>
        <w:t>行程了大纲初稿2.0版本</w:t>
      </w:r>
      <w:r>
        <w:rPr>
          <w:color w:val="auto"/>
        </w:rPr>
        <w:t>；</w:t>
      </w:r>
    </w:p>
    <w:p w14:paraId="1711EE1A">
      <w:pPr>
        <w:pStyle w:val="9"/>
        <w:bidi w:val="0"/>
        <w:rPr>
          <w:rFonts w:hint="eastAsia"/>
          <w:color w:val="auto"/>
          <w:sz w:val="24"/>
          <w:lang w:eastAsia="zh-CN"/>
        </w:rPr>
      </w:pPr>
      <w:r>
        <w:rPr>
          <w:rFonts w:hint="eastAsia"/>
          <w:color w:val="auto"/>
          <w:lang w:val="en-US" w:eastAsia="zh-CN"/>
        </w:rPr>
        <w:t>7.</w:t>
      </w:r>
      <w:r>
        <w:rPr>
          <w:color w:val="auto"/>
          <w:sz w:val="24"/>
        </w:rPr>
        <w:t>202</w:t>
      </w:r>
      <w:r>
        <w:rPr>
          <w:rFonts w:hint="eastAsia"/>
          <w:color w:val="auto"/>
          <w:sz w:val="24"/>
          <w:lang w:val="en-US" w:eastAsia="zh-CN"/>
        </w:rPr>
        <w:t>5</w:t>
      </w:r>
      <w:r>
        <w:rPr>
          <w:color w:val="auto"/>
          <w:sz w:val="24"/>
        </w:rPr>
        <w:t>年</w:t>
      </w:r>
      <w:r>
        <w:rPr>
          <w:rFonts w:hint="eastAsia"/>
          <w:color w:val="auto"/>
          <w:sz w:val="24"/>
          <w:lang w:val="en-US" w:eastAsia="zh-CN"/>
        </w:rPr>
        <w:t>11</w:t>
      </w:r>
      <w:r>
        <w:rPr>
          <w:color w:val="auto"/>
          <w:sz w:val="24"/>
        </w:rPr>
        <w:t>月</w:t>
      </w:r>
      <w:r>
        <w:rPr>
          <w:rFonts w:hint="eastAsia"/>
          <w:color w:val="auto"/>
          <w:sz w:val="24"/>
          <w:lang w:val="en-US" w:eastAsia="zh-CN"/>
        </w:rPr>
        <w:t>至2026年6月</w:t>
      </w:r>
      <w:r>
        <w:rPr>
          <w:color w:val="auto"/>
          <w:sz w:val="24"/>
        </w:rPr>
        <w:t>，起草组</w:t>
      </w:r>
      <w:r>
        <w:rPr>
          <w:rFonts w:hint="eastAsia"/>
          <w:color w:val="auto"/>
          <w:sz w:val="24"/>
          <w:lang w:val="en-US" w:eastAsia="zh-CN"/>
        </w:rPr>
        <w:t>通过工作组针对实验进度、准确度等级、试验方法等问题进行了小组讨论，经修改完善，形成了大纲初稿3.0版本</w:t>
      </w:r>
      <w:r>
        <w:rPr>
          <w:rFonts w:hint="eastAsia"/>
          <w:color w:val="auto"/>
          <w:sz w:val="24"/>
          <w:lang w:eastAsia="zh-CN"/>
        </w:rPr>
        <w:t>；</w:t>
      </w:r>
    </w:p>
    <w:p w14:paraId="2A013035">
      <w:pPr>
        <w:pStyle w:val="9"/>
        <w:bidi w:val="0"/>
        <w:rPr>
          <w:color w:val="auto"/>
        </w:rPr>
      </w:pPr>
      <w:r>
        <w:rPr>
          <w:rFonts w:hint="eastAsia"/>
          <w:color w:val="auto"/>
          <w:sz w:val="24"/>
          <w:lang w:val="en-US" w:eastAsia="zh-CN"/>
        </w:rPr>
        <w:t>8.</w:t>
      </w:r>
      <w:r>
        <w:rPr>
          <w:color w:val="auto"/>
          <w:sz w:val="24"/>
        </w:rPr>
        <w:t>202</w:t>
      </w:r>
      <w:r>
        <w:rPr>
          <w:rFonts w:hint="eastAsia"/>
          <w:color w:val="auto"/>
          <w:sz w:val="24"/>
          <w:lang w:val="en-US" w:eastAsia="zh-CN"/>
        </w:rPr>
        <w:t>6</w:t>
      </w:r>
      <w:r>
        <w:rPr>
          <w:color w:val="auto"/>
          <w:sz w:val="24"/>
        </w:rPr>
        <w:t>年</w:t>
      </w:r>
      <w:r>
        <w:rPr>
          <w:rFonts w:hint="eastAsia"/>
          <w:color w:val="auto"/>
          <w:sz w:val="24"/>
          <w:lang w:val="en-US" w:eastAsia="zh-CN"/>
        </w:rPr>
        <w:t>6</w:t>
      </w:r>
      <w:r>
        <w:rPr>
          <w:color w:val="auto"/>
          <w:sz w:val="24"/>
        </w:rPr>
        <w:t>月</w:t>
      </w:r>
      <w:r>
        <w:rPr>
          <w:rFonts w:hint="eastAsia"/>
          <w:color w:val="auto"/>
          <w:sz w:val="24"/>
          <w:lang w:val="en-US" w:eastAsia="zh-CN"/>
        </w:rPr>
        <w:t>25</w:t>
      </w:r>
      <w:r>
        <w:rPr>
          <w:color w:val="auto"/>
          <w:sz w:val="24"/>
        </w:rPr>
        <w:t>日，起草组召开了</w:t>
      </w:r>
      <w:r>
        <w:rPr>
          <w:rFonts w:hint="eastAsia"/>
          <w:color w:val="auto"/>
          <w:sz w:val="24"/>
          <w:lang w:val="en-US" w:eastAsia="zh-CN"/>
        </w:rPr>
        <w:t>线下大纲研讨会，重点</w:t>
      </w:r>
      <w:r>
        <w:rPr>
          <w:color w:val="auto"/>
          <w:sz w:val="24"/>
        </w:rPr>
        <w:t>针对</w:t>
      </w:r>
      <w:r>
        <w:rPr>
          <w:rFonts w:hint="eastAsia"/>
          <w:color w:val="auto"/>
          <w:sz w:val="24"/>
          <w:lang w:val="en-US" w:eastAsia="zh-CN"/>
        </w:rPr>
        <w:t>试验方法、型号产品确定方法、准确度等级、检定流量点选取</w:t>
      </w:r>
      <w:r>
        <w:rPr>
          <w:color w:val="auto"/>
          <w:sz w:val="24"/>
        </w:rPr>
        <w:t>等关键</w:t>
      </w:r>
      <w:r>
        <w:rPr>
          <w:rFonts w:hint="eastAsia"/>
          <w:color w:val="auto"/>
          <w:sz w:val="24"/>
          <w:lang w:eastAsia="zh-CN"/>
        </w:rPr>
        <w:t>部分作</w:t>
      </w:r>
      <w:r>
        <w:rPr>
          <w:color w:val="auto"/>
          <w:sz w:val="24"/>
        </w:rPr>
        <w:t>了</w:t>
      </w:r>
      <w:r>
        <w:rPr>
          <w:rFonts w:hint="eastAsia"/>
          <w:color w:val="auto"/>
          <w:sz w:val="24"/>
          <w:lang w:val="en-US" w:eastAsia="zh-CN"/>
        </w:rPr>
        <w:t>重点研讨</w:t>
      </w:r>
      <w:r>
        <w:rPr>
          <w:color w:val="auto"/>
          <w:sz w:val="24"/>
        </w:rPr>
        <w:t>，</w:t>
      </w:r>
      <w:r>
        <w:rPr>
          <w:rFonts w:hint="eastAsia"/>
          <w:color w:val="auto"/>
          <w:sz w:val="24"/>
          <w:lang w:val="en-US" w:eastAsia="zh-CN"/>
        </w:rPr>
        <w:t>形成了征求意见稿</w:t>
      </w:r>
      <w:r>
        <w:rPr>
          <w:rFonts w:hint="eastAsia"/>
          <w:color w:val="auto"/>
        </w:rPr>
        <w:t>。</w:t>
      </w:r>
    </w:p>
    <w:p w14:paraId="04384E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Times New Roman"/>
          <w:color w:val="auto"/>
          <w:sz w:val="24"/>
        </w:rPr>
      </w:pPr>
      <w:r>
        <w:rPr>
          <w:rFonts w:hint="eastAsia" w:ascii="黑体" w:hAnsi="黑体" w:eastAsia="黑体" w:cs="Times New Roman"/>
          <w:color w:val="auto"/>
          <w:sz w:val="24"/>
        </w:rPr>
        <w:t>第二阶段：征求意见阶段</w:t>
      </w:r>
    </w:p>
    <w:p w14:paraId="4BCD3876">
      <w:pPr>
        <w:pStyle w:val="9"/>
        <w:bidi w:val="0"/>
        <w:rPr>
          <w:color w:val="auto"/>
        </w:rPr>
      </w:pPr>
      <w:r>
        <w:rPr>
          <w:rFonts w:hint="eastAsia"/>
          <w:color w:val="auto"/>
          <w:lang w:val="en-US" w:eastAsia="zh-CN"/>
        </w:rPr>
        <w:t>1.</w:t>
      </w:r>
      <w:r>
        <w:rPr>
          <w:color w:val="auto"/>
        </w:rPr>
        <w:t>202</w:t>
      </w:r>
      <w:r>
        <w:rPr>
          <w:rFonts w:hint="eastAsia"/>
          <w:color w:val="auto"/>
          <w:lang w:val="en-US" w:eastAsia="zh-CN"/>
        </w:rPr>
        <w:t>6</w:t>
      </w:r>
      <w:r>
        <w:rPr>
          <w:color w:val="auto"/>
        </w:rPr>
        <w:t>年</w:t>
      </w:r>
      <w:r>
        <w:rPr>
          <w:rFonts w:hint="eastAsia"/>
          <w:color w:val="auto"/>
          <w:lang w:val="en-US" w:eastAsia="zh-CN"/>
        </w:rPr>
        <w:t>X</w:t>
      </w:r>
      <w:r>
        <w:rPr>
          <w:rFonts w:hint="eastAsia"/>
          <w:color w:val="auto"/>
        </w:rPr>
        <w:t>月底</w:t>
      </w:r>
      <w:r>
        <w:rPr>
          <w:color w:val="auto"/>
        </w:rPr>
        <w:t>，起草组根据</w:t>
      </w:r>
      <w:r>
        <w:rPr>
          <w:rFonts w:hint="eastAsia"/>
          <w:color w:val="auto"/>
        </w:rPr>
        <w:t>扩大</w:t>
      </w:r>
      <w:r>
        <w:rPr>
          <w:color w:val="auto"/>
        </w:rPr>
        <w:t>会议中各位代表提出的问题，进一步修改</w:t>
      </w:r>
      <w:r>
        <w:rPr>
          <w:rFonts w:hint="eastAsia"/>
          <w:color w:val="auto"/>
          <w:lang w:val="en-US" w:eastAsia="zh-CN"/>
        </w:rPr>
        <w:t>大纲</w:t>
      </w:r>
      <w:r>
        <w:rPr>
          <w:rFonts w:hint="eastAsia"/>
          <w:color w:val="auto"/>
        </w:rPr>
        <w:t>，</w:t>
      </w:r>
      <w:r>
        <w:rPr>
          <w:color w:val="auto"/>
        </w:rPr>
        <w:t>形成</w:t>
      </w:r>
      <w:r>
        <w:rPr>
          <w:rFonts w:hint="eastAsia"/>
          <w:color w:val="auto"/>
          <w:lang w:val="en-US" w:eastAsia="zh-CN"/>
        </w:rPr>
        <w:t>大纲</w:t>
      </w:r>
      <w:r>
        <w:rPr>
          <w:color w:val="auto"/>
        </w:rPr>
        <w:t>征求意见稿；</w:t>
      </w:r>
    </w:p>
    <w:p w14:paraId="041DC948">
      <w:pPr>
        <w:pStyle w:val="9"/>
        <w:bidi w:val="0"/>
        <w:rPr>
          <w:color w:val="auto"/>
        </w:rPr>
      </w:pPr>
      <w:r>
        <w:rPr>
          <w:rFonts w:hint="eastAsia"/>
          <w:color w:val="auto"/>
          <w:lang w:val="en-US" w:eastAsia="zh-CN"/>
        </w:rPr>
        <w:t>2.</w:t>
      </w:r>
      <w:r>
        <w:rPr>
          <w:color w:val="auto"/>
        </w:rPr>
        <w:t>202</w:t>
      </w:r>
      <w:r>
        <w:rPr>
          <w:rFonts w:hint="eastAsia"/>
          <w:color w:val="auto"/>
          <w:lang w:val="en-US" w:eastAsia="zh-CN"/>
        </w:rPr>
        <w:t>6</w:t>
      </w:r>
      <w:r>
        <w:rPr>
          <w:color w:val="auto"/>
        </w:rPr>
        <w:t>年</w:t>
      </w:r>
      <w:r>
        <w:rPr>
          <w:rFonts w:hint="eastAsia"/>
          <w:color w:val="auto"/>
          <w:lang w:val="en-US" w:eastAsia="zh-CN"/>
        </w:rPr>
        <w:t>X</w:t>
      </w:r>
      <w:r>
        <w:rPr>
          <w:color w:val="auto"/>
        </w:rPr>
        <w:t>月</w:t>
      </w:r>
      <w:r>
        <w:rPr>
          <w:rFonts w:hint="eastAsia"/>
          <w:color w:val="auto"/>
          <w:lang w:val="en-US" w:eastAsia="zh-CN"/>
        </w:rPr>
        <w:t>X</w:t>
      </w:r>
      <w:r>
        <w:rPr>
          <w:rFonts w:hint="eastAsia"/>
          <w:color w:val="auto"/>
        </w:rPr>
        <w:t>日</w:t>
      </w:r>
      <w:r>
        <w:rPr>
          <w:rFonts w:hint="eastAsia"/>
          <w:color w:val="auto"/>
          <w:lang w:eastAsia="zh-CN"/>
        </w:rPr>
        <w:t>～</w:t>
      </w:r>
      <w:r>
        <w:rPr>
          <w:rFonts w:hint="eastAsia"/>
          <w:color w:val="auto"/>
        </w:rPr>
        <w:t>202</w:t>
      </w:r>
      <w:r>
        <w:rPr>
          <w:rFonts w:hint="eastAsia"/>
          <w:color w:val="auto"/>
          <w:lang w:val="en-US" w:eastAsia="zh-CN"/>
        </w:rPr>
        <w:t>6</w:t>
      </w:r>
      <w:r>
        <w:rPr>
          <w:rFonts w:hint="eastAsia"/>
          <w:color w:val="auto"/>
        </w:rPr>
        <w:t>年</w:t>
      </w:r>
      <w:r>
        <w:rPr>
          <w:rFonts w:hint="eastAsia"/>
          <w:color w:val="auto"/>
          <w:lang w:val="en-US" w:eastAsia="zh-CN"/>
        </w:rPr>
        <w:t>X</w:t>
      </w:r>
      <w:r>
        <w:rPr>
          <w:rFonts w:hint="eastAsia"/>
          <w:color w:val="auto"/>
        </w:rPr>
        <w:t>月</w:t>
      </w:r>
      <w:r>
        <w:rPr>
          <w:rFonts w:hint="eastAsia"/>
          <w:color w:val="auto"/>
          <w:lang w:val="en-US" w:eastAsia="zh-CN"/>
        </w:rPr>
        <w:t>X</w:t>
      </w:r>
      <w:r>
        <w:rPr>
          <w:rFonts w:hint="eastAsia"/>
          <w:color w:val="auto"/>
        </w:rPr>
        <w:t>日</w:t>
      </w:r>
      <w:r>
        <w:rPr>
          <w:color w:val="auto"/>
        </w:rPr>
        <w:t>，</w:t>
      </w:r>
      <w:r>
        <w:rPr>
          <w:rFonts w:hint="eastAsia"/>
          <w:color w:val="auto"/>
        </w:rPr>
        <w:t>JJ</w:t>
      </w:r>
      <w:r>
        <w:rPr>
          <w:rFonts w:hint="eastAsia"/>
          <w:color w:val="auto"/>
          <w:lang w:val="en-US" w:eastAsia="zh-CN"/>
        </w:rPr>
        <w:t>F</w:t>
      </w:r>
      <w:r>
        <w:rPr>
          <w:rFonts w:hint="eastAsia"/>
          <w:color w:val="auto"/>
        </w:rPr>
        <w:t>XXXX-202X《</w:t>
      </w:r>
      <w:r>
        <w:rPr>
          <w:rFonts w:hint="eastAsia"/>
          <w:color w:val="auto"/>
          <w:lang w:val="en-US" w:eastAsia="zh-CN"/>
        </w:rPr>
        <w:t>电磁流量计型式评价大纲</w:t>
      </w:r>
      <w:r>
        <w:rPr>
          <w:rFonts w:hint="eastAsia"/>
          <w:color w:val="auto"/>
        </w:rPr>
        <w:t>》（征求意见稿）由全国流量计量技术委员会在中国计量协会官网对外发布，同时，起草组也向各个省级技术机构发送电子邮件征求意见，通过工业计量、计量资讯速递等微信公众号进行了意见征集推送。</w:t>
      </w:r>
    </w:p>
    <w:p w14:paraId="3799AC70">
      <w:pPr>
        <w:pStyle w:val="9"/>
        <w:bidi w:val="0"/>
        <w:rPr>
          <w:color w:val="auto"/>
        </w:rPr>
      </w:pPr>
      <w:r>
        <w:rPr>
          <w:rFonts w:hint="eastAsia"/>
          <w:color w:val="auto"/>
          <w:lang w:val="en-US" w:eastAsia="zh-CN"/>
        </w:rPr>
        <w:t>3.</w:t>
      </w:r>
      <w:r>
        <w:rPr>
          <w:rFonts w:hint="eastAsia"/>
          <w:color w:val="auto"/>
        </w:rPr>
        <w:t>经过对广泛征求意见汇总和小结，起草小组对征集到的</w:t>
      </w:r>
      <w:r>
        <w:rPr>
          <w:rFonts w:hint="eastAsia"/>
          <w:color w:val="auto"/>
          <w:lang w:val="en-US" w:eastAsia="zh-CN"/>
        </w:rPr>
        <w:t>XX</w:t>
      </w:r>
      <w:r>
        <w:rPr>
          <w:rFonts w:hint="eastAsia"/>
          <w:color w:val="auto"/>
        </w:rPr>
        <w:t>条意见逐条进行了讨论，并进行了妥善处理（详见“征求意见汇总”），对</w:t>
      </w:r>
      <w:r>
        <w:rPr>
          <w:rFonts w:hint="eastAsia"/>
          <w:color w:val="auto"/>
          <w:lang w:val="en-US" w:eastAsia="zh-CN"/>
        </w:rPr>
        <w:t>大纲</w:t>
      </w:r>
      <w:r>
        <w:rPr>
          <w:rFonts w:hint="eastAsia"/>
          <w:color w:val="auto"/>
        </w:rPr>
        <w:t>内容进行了补充和完善，在综合了返回意见后，结合验证试验报告形成报审稿。</w:t>
      </w:r>
    </w:p>
    <w:p w14:paraId="7CDD73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Times New Roman"/>
          <w:color w:val="auto"/>
          <w:sz w:val="24"/>
        </w:rPr>
      </w:pPr>
      <w:r>
        <w:rPr>
          <w:rFonts w:hint="eastAsia" w:ascii="黑体" w:hAnsi="黑体" w:eastAsia="黑体" w:cs="Times New Roman"/>
          <w:color w:val="auto"/>
          <w:sz w:val="24"/>
        </w:rPr>
        <w:t xml:space="preserve">第三阶段： 审查报审报批阶段  </w:t>
      </w:r>
    </w:p>
    <w:p w14:paraId="293BACCE">
      <w:pPr>
        <w:pStyle w:val="9"/>
        <w:bidi w:val="0"/>
        <w:rPr>
          <w:color w:val="auto"/>
        </w:rPr>
      </w:pPr>
      <w:r>
        <w:rPr>
          <w:rFonts w:hint="eastAsia"/>
          <w:color w:val="auto"/>
          <w:lang w:val="en-US" w:eastAsia="zh-CN"/>
        </w:rPr>
        <w:t>1.</w:t>
      </w:r>
      <w:r>
        <w:rPr>
          <w:rFonts w:hint="eastAsia"/>
          <w:color w:val="auto"/>
        </w:rPr>
        <w:t>202</w:t>
      </w:r>
      <w:r>
        <w:rPr>
          <w:rFonts w:hint="eastAsia"/>
          <w:color w:val="auto"/>
          <w:lang w:val="en-US" w:eastAsia="zh-CN"/>
        </w:rPr>
        <w:t>6</w:t>
      </w:r>
      <w:r>
        <w:rPr>
          <w:rFonts w:hint="eastAsia"/>
          <w:color w:val="auto"/>
        </w:rPr>
        <w:t>年</w:t>
      </w:r>
      <w:r>
        <w:rPr>
          <w:rFonts w:hint="eastAsia"/>
          <w:color w:val="auto"/>
          <w:lang w:val="en-US" w:eastAsia="zh-CN"/>
        </w:rPr>
        <w:t>X</w:t>
      </w:r>
      <w:r>
        <w:rPr>
          <w:rFonts w:hint="eastAsia"/>
          <w:color w:val="auto"/>
        </w:rPr>
        <w:t>月</w:t>
      </w:r>
      <w:r>
        <w:rPr>
          <w:rFonts w:hint="eastAsia"/>
          <w:color w:val="auto"/>
          <w:lang w:val="en-US" w:eastAsia="zh-CN"/>
        </w:rPr>
        <w:t>X</w:t>
      </w:r>
      <w:r>
        <w:rPr>
          <w:rFonts w:hint="eastAsia"/>
          <w:color w:val="auto"/>
        </w:rPr>
        <w:t>日，提交技术委员会委员秘书处送审资料。待审定。</w:t>
      </w:r>
    </w:p>
    <w:p w14:paraId="01D38F13">
      <w:pPr>
        <w:pStyle w:val="9"/>
        <w:bidi w:val="0"/>
        <w:rPr>
          <w:rFonts w:hint="eastAsia"/>
          <w:color w:val="auto"/>
        </w:rPr>
      </w:pPr>
      <w:r>
        <w:rPr>
          <w:rFonts w:hint="eastAsia"/>
          <w:color w:val="auto"/>
          <w:lang w:val="en-US" w:eastAsia="zh-CN"/>
        </w:rPr>
        <w:t>2.</w:t>
      </w:r>
      <w:r>
        <w:rPr>
          <w:rFonts w:hint="eastAsia"/>
          <w:color w:val="auto"/>
        </w:rPr>
        <w:t>202</w:t>
      </w:r>
      <w:r>
        <w:rPr>
          <w:rFonts w:hint="eastAsia"/>
          <w:color w:val="auto"/>
          <w:lang w:val="en-US" w:eastAsia="zh-CN"/>
        </w:rPr>
        <w:t>6</w:t>
      </w:r>
      <w:r>
        <w:rPr>
          <w:rFonts w:hint="eastAsia"/>
          <w:color w:val="auto"/>
        </w:rPr>
        <w:t>年</w:t>
      </w:r>
      <w:r>
        <w:rPr>
          <w:rFonts w:hint="eastAsia"/>
          <w:color w:val="auto"/>
          <w:lang w:val="en-US" w:eastAsia="zh-CN"/>
        </w:rPr>
        <w:t>X</w:t>
      </w:r>
      <w:r>
        <w:rPr>
          <w:rFonts w:hint="eastAsia"/>
          <w:color w:val="auto"/>
        </w:rPr>
        <w:t>月</w:t>
      </w:r>
      <w:r>
        <w:rPr>
          <w:rFonts w:hint="eastAsia"/>
          <w:color w:val="auto"/>
          <w:lang w:val="en-US" w:eastAsia="zh-CN"/>
        </w:rPr>
        <w:t>X</w:t>
      </w:r>
      <w:r>
        <w:rPr>
          <w:rFonts w:hint="eastAsia"/>
          <w:color w:val="auto"/>
        </w:rPr>
        <w:t>日，MTC3/SC1召开全体委员预审定会。</w:t>
      </w:r>
    </w:p>
    <w:p w14:paraId="17BE7B35">
      <w:pPr>
        <w:pStyle w:val="9"/>
        <w:bidi w:val="0"/>
        <w:rPr>
          <w:rFonts w:hint="eastAsia"/>
          <w:color w:val="auto"/>
        </w:rPr>
      </w:pPr>
      <w:r>
        <w:rPr>
          <w:rFonts w:hint="eastAsia"/>
          <w:color w:val="auto"/>
          <w:lang w:val="en-US" w:eastAsia="zh-CN"/>
        </w:rPr>
        <w:t>3.</w:t>
      </w:r>
      <w:r>
        <w:rPr>
          <w:rFonts w:hint="eastAsia"/>
          <w:color w:val="auto"/>
        </w:rPr>
        <w:t>202</w:t>
      </w:r>
      <w:r>
        <w:rPr>
          <w:rFonts w:hint="eastAsia"/>
          <w:color w:val="auto"/>
          <w:lang w:val="en-US" w:eastAsia="zh-CN"/>
        </w:rPr>
        <w:t>6</w:t>
      </w:r>
      <w:r>
        <w:rPr>
          <w:rFonts w:hint="eastAsia"/>
          <w:color w:val="auto"/>
        </w:rPr>
        <w:t>年</w:t>
      </w:r>
      <w:r>
        <w:rPr>
          <w:rFonts w:hint="eastAsia"/>
          <w:color w:val="auto"/>
          <w:lang w:val="en-US" w:eastAsia="zh-CN"/>
        </w:rPr>
        <w:t>X</w:t>
      </w:r>
      <w:r>
        <w:rPr>
          <w:rFonts w:hint="eastAsia"/>
          <w:color w:val="auto"/>
        </w:rPr>
        <w:t>月，根据MTC3</w:t>
      </w:r>
      <w:r>
        <w:rPr>
          <w:color w:val="auto"/>
        </w:rPr>
        <w:t>/SC1</w:t>
      </w:r>
      <w:r>
        <w:rPr>
          <w:rFonts w:hint="eastAsia"/>
          <w:color w:val="auto"/>
        </w:rPr>
        <w:t>审定意见，修改形成报批稿，向总局报批。</w:t>
      </w:r>
    </w:p>
    <w:p w14:paraId="4220DE6E">
      <w:pPr>
        <w:numPr>
          <w:ilvl w:val="0"/>
          <w:numId w:val="2"/>
        </w:numPr>
        <w:spacing w:before="156" w:beforeLines="50" w:after="156" w:afterLines="50"/>
        <w:jc w:val="left"/>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大纲修订的主要技术内容</w:t>
      </w:r>
    </w:p>
    <w:p w14:paraId="6CE15E3D">
      <w:pPr>
        <w:pStyle w:val="9"/>
        <w:ind w:firstLine="480"/>
        <w:rPr>
          <w:rFonts w:hint="eastAsia" w:cstheme="minorBidi"/>
          <w:color w:val="auto"/>
        </w:rPr>
      </w:pPr>
      <w:r>
        <w:rPr>
          <w:rFonts w:hint="eastAsia" w:cstheme="minorBidi"/>
          <w:color w:val="auto"/>
        </w:rPr>
        <w:t>本</w:t>
      </w:r>
      <w:r>
        <w:rPr>
          <w:rFonts w:hint="eastAsia" w:cstheme="minorBidi"/>
          <w:color w:val="auto"/>
          <w:lang w:val="en-US" w:eastAsia="zh-CN"/>
        </w:rPr>
        <w:t>大纲</w:t>
      </w:r>
      <w:r>
        <w:rPr>
          <w:rFonts w:hint="eastAsia" w:cstheme="minorBidi"/>
          <w:color w:val="auto"/>
        </w:rPr>
        <w:t>在参考JJG 1033-2007《电磁流量计》附录A"电磁流量计型式评价大纲"的基础上，主要变化如下：</w:t>
      </w:r>
    </w:p>
    <w:p w14:paraId="298B72F4">
      <w:pPr>
        <w:pStyle w:val="9"/>
        <w:ind w:firstLine="480"/>
        <w:rPr>
          <w:rFonts w:hint="eastAsia" w:cstheme="minorBidi"/>
          <w:color w:val="auto"/>
        </w:rPr>
      </w:pPr>
      <w:r>
        <w:rPr>
          <w:rFonts w:hint="eastAsia" w:cstheme="minorBidi"/>
          <w:color w:val="auto"/>
        </w:rPr>
        <w:t>1. 调整为独立的JJF系列国家计量技术规范体例</w:t>
      </w:r>
    </w:p>
    <w:p w14:paraId="181CC321">
      <w:pPr>
        <w:pStyle w:val="9"/>
        <w:ind w:firstLine="480"/>
        <w:rPr>
          <w:rFonts w:hint="eastAsia" w:cstheme="minorBidi"/>
          <w:color w:val="auto"/>
        </w:rPr>
      </w:pPr>
      <w:r>
        <w:rPr>
          <w:rFonts w:hint="eastAsia" w:cstheme="minorBidi"/>
          <w:color w:val="auto"/>
        </w:rPr>
        <w:t>原大纲作为检定规程的附录存在，体例上不符合现行JJF 1015、JJF 1016的要求。本次修订调整为独立的JJF系列国家计量技术规范，新增"引言"章节，重构章节框架，技术内容与现行电磁流量计检定规程协调一致，使大纲结构更加规范完整。</w:t>
      </w:r>
    </w:p>
    <w:p w14:paraId="140104D5">
      <w:pPr>
        <w:pStyle w:val="9"/>
        <w:ind w:firstLine="480"/>
        <w:rPr>
          <w:rFonts w:hint="eastAsia" w:cstheme="minorBidi"/>
          <w:color w:val="auto"/>
        </w:rPr>
      </w:pPr>
      <w:r>
        <w:rPr>
          <w:rFonts w:hint="eastAsia" w:cstheme="minorBidi"/>
          <w:color w:val="auto"/>
        </w:rPr>
        <w:t>2. 调整并更新引用文件</w:t>
      </w:r>
    </w:p>
    <w:p w14:paraId="1311A6FC">
      <w:pPr>
        <w:pStyle w:val="9"/>
        <w:ind w:firstLine="480"/>
        <w:rPr>
          <w:rFonts w:hint="eastAsia" w:cstheme="minorBidi"/>
          <w:color w:val="auto"/>
        </w:rPr>
      </w:pPr>
      <w:r>
        <w:rPr>
          <w:rFonts w:hint="eastAsia" w:cstheme="minorBidi"/>
          <w:color w:val="auto"/>
        </w:rPr>
        <w:t>删除旧版废止标准，新增JJF 1182、GB/T 2423系列、GB/T 17626.3、GB/T 22133等现行标准，将GB/T 18659、JB/T 9248调整为不注日期引用，确保引用文件的时效性和准确性。</w:t>
      </w:r>
    </w:p>
    <w:p w14:paraId="4E89CFE5">
      <w:pPr>
        <w:pStyle w:val="9"/>
        <w:ind w:firstLine="480"/>
        <w:rPr>
          <w:rFonts w:hint="eastAsia" w:cstheme="minorBidi"/>
          <w:color w:val="auto"/>
        </w:rPr>
      </w:pPr>
      <w:r>
        <w:rPr>
          <w:rFonts w:hint="eastAsia" w:cstheme="minorBidi"/>
          <w:color w:val="auto"/>
        </w:rPr>
        <w:t>3. 明确适用范围</w:t>
      </w:r>
    </w:p>
    <w:p w14:paraId="575D936C">
      <w:pPr>
        <w:pStyle w:val="9"/>
        <w:ind w:firstLine="480"/>
        <w:rPr>
          <w:rFonts w:hint="eastAsia" w:cstheme="minorBidi"/>
          <w:color w:val="auto"/>
        </w:rPr>
      </w:pPr>
      <w:r>
        <w:rPr>
          <w:rFonts w:hint="eastAsia" w:cstheme="minorBidi"/>
          <w:color w:val="auto"/>
        </w:rPr>
        <w:t>明确适用范围为公称通径不大于DN300的电磁流量计，与计量器具型式评价管理要求相衔接，便于型式评价工作的开展。</w:t>
      </w:r>
    </w:p>
    <w:p w14:paraId="043C5640">
      <w:pPr>
        <w:pStyle w:val="9"/>
        <w:ind w:firstLine="480"/>
        <w:rPr>
          <w:rFonts w:hint="eastAsia" w:cstheme="minorBidi"/>
          <w:color w:val="auto"/>
        </w:rPr>
      </w:pPr>
      <w:r>
        <w:rPr>
          <w:rFonts w:hint="eastAsia" w:cstheme="minorBidi"/>
          <w:color w:val="auto"/>
        </w:rPr>
        <w:t>4. 完善术语与概述</w:t>
      </w:r>
    </w:p>
    <w:p w14:paraId="50C447D8">
      <w:pPr>
        <w:pStyle w:val="9"/>
        <w:ind w:firstLine="480"/>
        <w:rPr>
          <w:rFonts w:hint="eastAsia" w:cstheme="minorBidi"/>
          <w:color w:val="auto"/>
        </w:rPr>
      </w:pPr>
      <w:r>
        <w:rPr>
          <w:rFonts w:hint="eastAsia" w:cstheme="minorBidi"/>
          <w:color w:val="auto"/>
        </w:rPr>
        <w:t>统一采用"传感器/变送器"行业通用表述，与GB/T 18659-2023保持一致；新增"辅助装置"术语；补充流量计典型结构示意图，使读者能够更直观地了解电磁流量计的结构；增加关键零部件和材料要求，为系列产品划分提供技术依据。</w:t>
      </w:r>
    </w:p>
    <w:p w14:paraId="04857834">
      <w:pPr>
        <w:pStyle w:val="9"/>
        <w:ind w:firstLine="480"/>
        <w:rPr>
          <w:rFonts w:hint="eastAsia" w:cstheme="minorBidi"/>
          <w:color w:val="auto"/>
        </w:rPr>
      </w:pPr>
      <w:r>
        <w:rPr>
          <w:rFonts w:hint="eastAsia" w:cstheme="minorBidi"/>
          <w:color w:val="auto"/>
        </w:rPr>
        <w:t>5. 扩充法制管理要求</w:t>
      </w:r>
    </w:p>
    <w:p w14:paraId="709BD733">
      <w:pPr>
        <w:pStyle w:val="9"/>
        <w:ind w:firstLine="480"/>
        <w:rPr>
          <w:rFonts w:hint="eastAsia" w:cstheme="minorBidi"/>
          <w:color w:val="auto"/>
        </w:rPr>
      </w:pPr>
      <w:r>
        <w:rPr>
          <w:rFonts w:hint="eastAsia" w:cstheme="minorBidi"/>
          <w:color w:val="auto"/>
        </w:rPr>
        <w:t>新增外部封闭结构设计要求，规定对计量性能有影响或不允许使用者自行调整的部位均应设计成封闭结构；新增电子封印保护装置规定，明确参数修改权限与干预记录规则；完善标识要求，新增CPA标志、特种设备生产许可证等标识内容；补充软件标识管理要求，与JJF 1182协调一致。</w:t>
      </w:r>
    </w:p>
    <w:p w14:paraId="7B8227C2">
      <w:pPr>
        <w:pStyle w:val="9"/>
        <w:ind w:firstLine="480"/>
        <w:rPr>
          <w:rFonts w:hint="eastAsia" w:cstheme="minorBidi"/>
          <w:color w:val="auto"/>
        </w:rPr>
      </w:pPr>
      <w:r>
        <w:rPr>
          <w:rFonts w:hint="eastAsia" w:cstheme="minorBidi"/>
          <w:color w:val="auto"/>
        </w:rPr>
        <w:t>6. 调整准确度等级系列</w:t>
      </w:r>
    </w:p>
    <w:p w14:paraId="6049617D">
      <w:pPr>
        <w:pStyle w:val="9"/>
        <w:ind w:firstLine="480"/>
        <w:rPr>
          <w:rFonts w:hint="eastAsia" w:cstheme="minorBidi"/>
          <w:color w:val="auto"/>
        </w:rPr>
      </w:pPr>
      <w:r>
        <w:rPr>
          <w:rFonts w:hint="eastAsia" w:cstheme="minorBidi"/>
          <w:color w:val="auto"/>
        </w:rPr>
        <w:t>准确度等级增加了0.15级，删除了0.25级和2.5级，新增2.0级；原非优先的0.3级调整为正式等级，优化等级覆盖范围。随着国内电磁流量计制造水平的快速发展，起草组调研了大量流量计生产厂家及用户，国内市场对高准确度等级（0.15级）和低准确度等级（2.0级）的流量计均有需求，而0.25级和2.5级经调研后发现，市场上该等级电磁流量计较少，用户端需求也完全可由其他等级流量计代替，故本次修订予以调整。</w:t>
      </w:r>
    </w:p>
    <w:p w14:paraId="4F7CD4FA">
      <w:pPr>
        <w:pStyle w:val="9"/>
        <w:ind w:firstLine="480"/>
        <w:rPr>
          <w:rFonts w:hint="eastAsia" w:cstheme="minorBidi"/>
          <w:color w:val="auto"/>
        </w:rPr>
      </w:pPr>
      <w:r>
        <w:rPr>
          <w:rFonts w:hint="eastAsia" w:cstheme="minorBidi"/>
          <w:color w:val="auto"/>
        </w:rPr>
        <w:t>7. 新增加量程比和多信号输出考核要求</w:t>
      </w:r>
    </w:p>
    <w:p w14:paraId="73767776">
      <w:pPr>
        <w:pStyle w:val="9"/>
        <w:ind w:firstLine="480"/>
        <w:rPr>
          <w:rFonts w:hint="eastAsia" w:cstheme="minorBidi"/>
          <w:color w:val="auto"/>
        </w:rPr>
      </w:pPr>
      <w:r>
        <w:rPr>
          <w:rFonts w:hint="eastAsia" w:cstheme="minorBidi"/>
          <w:color w:val="auto"/>
        </w:rPr>
        <w:t>新增加量程比考核要求，规定流量计量程比应不小于5，确保流量计在较宽的流量范围内都能满足准确度要求；新增加多信号输出考核要求，明确具备多种输出的流量计应对电流、脉冲信号分别开展计量性能测试，计量性能应均满足其准确度等级的要求。</w:t>
      </w:r>
    </w:p>
    <w:p w14:paraId="14BF5AE5">
      <w:pPr>
        <w:pStyle w:val="9"/>
        <w:ind w:firstLine="480"/>
        <w:rPr>
          <w:rFonts w:hint="eastAsia" w:cstheme="minorBidi"/>
          <w:color w:val="auto"/>
        </w:rPr>
      </w:pPr>
      <w:r>
        <w:rPr>
          <w:rFonts w:hint="eastAsia" w:cstheme="minorBidi"/>
          <w:color w:val="auto"/>
        </w:rPr>
        <w:t>8. 细化通用技术要求</w:t>
      </w:r>
    </w:p>
    <w:p w14:paraId="0ABFB460">
      <w:pPr>
        <w:pStyle w:val="9"/>
        <w:ind w:firstLine="480"/>
        <w:rPr>
          <w:rFonts w:hint="eastAsia" w:cstheme="minorBidi"/>
          <w:color w:val="auto"/>
        </w:rPr>
      </w:pPr>
      <w:r>
        <w:rPr>
          <w:rFonts w:hint="eastAsia" w:cstheme="minorBidi"/>
          <w:color w:val="auto"/>
        </w:rPr>
        <w:t>新增电源专项要求，区分外部电源与可更换电池供电的考核规则，对电源故障数据保护、电池更换、低电量提示等做出明确规定；按额定电压分级规定绝缘性能指标，使绝缘要求更加科学合理；新增直流反向保护试验项目，完善安全性能要求。</w:t>
      </w:r>
    </w:p>
    <w:p w14:paraId="331427C2">
      <w:pPr>
        <w:pStyle w:val="9"/>
        <w:ind w:firstLine="480"/>
        <w:rPr>
          <w:rFonts w:hint="eastAsia" w:cstheme="minorBidi"/>
          <w:color w:val="auto"/>
        </w:rPr>
      </w:pPr>
      <w:r>
        <w:rPr>
          <w:rFonts w:hint="eastAsia" w:cstheme="minorBidi"/>
          <w:color w:val="auto"/>
        </w:rPr>
        <w:t>9. 扩充环境适应性与电磁兼容项目</w:t>
      </w:r>
    </w:p>
    <w:p w14:paraId="1478813E">
      <w:pPr>
        <w:pStyle w:val="9"/>
        <w:ind w:firstLine="480"/>
        <w:rPr>
          <w:rFonts w:hint="eastAsia" w:cstheme="minorBidi"/>
          <w:color w:val="auto"/>
        </w:rPr>
      </w:pPr>
      <w:r>
        <w:rPr>
          <w:rFonts w:hint="eastAsia" w:cstheme="minorBidi"/>
          <w:color w:val="auto"/>
        </w:rPr>
        <w:t>新增机械冲击试验，完善机械环境适应性考核；新增射频电磁场辐射抗扰度试验，完善电磁兼容考核项目；电快速瞬变脉冲群、浪涌抗扰度等项目试验等级由1~2级更改为3级，提高了电磁兼容考核要求，与现行国家标准和行业实际情况保持一致。</w:t>
      </w:r>
    </w:p>
    <w:p w14:paraId="0D3E1DD6">
      <w:pPr>
        <w:pStyle w:val="9"/>
        <w:ind w:firstLine="480"/>
        <w:rPr>
          <w:rFonts w:hint="eastAsia" w:cstheme="minorBidi"/>
          <w:color w:val="auto"/>
        </w:rPr>
      </w:pPr>
      <w:r>
        <w:rPr>
          <w:rFonts w:hint="eastAsia" w:cstheme="minorBidi"/>
          <w:color w:val="auto"/>
        </w:rPr>
        <w:t>10. 完善型式评价实施规则</w:t>
      </w:r>
    </w:p>
    <w:p w14:paraId="41065606">
      <w:pPr>
        <w:pStyle w:val="9"/>
        <w:ind w:firstLine="480"/>
        <w:rPr>
          <w:rFonts w:hint="eastAsia" w:cstheme="minorBidi"/>
          <w:color w:val="auto"/>
        </w:rPr>
      </w:pPr>
      <w:r>
        <w:rPr>
          <w:rFonts w:hint="eastAsia" w:cstheme="minorBidi"/>
          <w:color w:val="auto"/>
        </w:rPr>
        <w:t>新增型式评价项目一览表，明确各项目的技术要求、评价方式、评价方法、样机数量、备注等信息；细化各试验项目的试验条件、操作程序、数据处理与合格判据，提高了大纲的可操作性，便于型式评价机构统一执行。</w:t>
      </w:r>
    </w:p>
    <w:p w14:paraId="3153F206">
      <w:pPr>
        <w:pStyle w:val="9"/>
        <w:ind w:firstLine="480"/>
        <w:rPr>
          <w:rFonts w:hint="eastAsia" w:cstheme="minorBidi"/>
          <w:color w:val="auto"/>
        </w:rPr>
      </w:pPr>
      <w:r>
        <w:rPr>
          <w:rFonts w:hint="eastAsia" w:cstheme="minorBidi"/>
          <w:color w:val="auto"/>
        </w:rPr>
        <w:t>11. 新增系列产品相关规定</w:t>
      </w:r>
    </w:p>
    <w:p w14:paraId="7E4C4AE0">
      <w:pPr>
        <w:pStyle w:val="9"/>
        <w:ind w:firstLine="480"/>
        <w:rPr>
          <w:rFonts w:hint="eastAsia" w:cstheme="minorBidi"/>
          <w:color w:val="auto"/>
        </w:rPr>
      </w:pPr>
      <w:r>
        <w:rPr>
          <w:rFonts w:hint="eastAsia" w:cstheme="minorBidi"/>
          <w:color w:val="auto"/>
        </w:rPr>
        <w:t>明确系列产品划分原则与样机选取规则，规定同时满足结构设计相同或相似、关键零部件和材料相同、生产工艺相同、准确度等级相同或不同但最高准确度等级不超过申请的最高准确度等级等条件的流量计可划分为同一系列产品；配套增加系列产品确定原则、型式评价实施方法，规范系列产品的型式评价工作。</w:t>
      </w:r>
    </w:p>
    <w:p w14:paraId="145171CC">
      <w:pPr>
        <w:pStyle w:val="9"/>
        <w:ind w:firstLine="480"/>
        <w:rPr>
          <w:rFonts w:hint="eastAsia" w:cstheme="minorBidi"/>
          <w:color w:val="auto"/>
        </w:rPr>
      </w:pPr>
      <w:r>
        <w:rPr>
          <w:rFonts w:hint="eastAsia" w:cstheme="minorBidi"/>
          <w:color w:val="auto"/>
        </w:rPr>
        <w:t>12. 新增附录内容</w:t>
      </w:r>
    </w:p>
    <w:p w14:paraId="6EA93B0D">
      <w:pPr>
        <w:pStyle w:val="9"/>
        <w:ind w:firstLine="480"/>
        <w:rPr>
          <w:rFonts w:hint="eastAsia" w:cstheme="minorBidi"/>
          <w:color w:val="auto"/>
        </w:rPr>
      </w:pPr>
      <w:r>
        <w:rPr>
          <w:rFonts w:hint="eastAsia" w:cstheme="minorBidi"/>
          <w:color w:val="auto"/>
        </w:rPr>
        <w:t>新增原始记录参考格式附录，规范试验记录的内容和格式；新增水的热物性参数附录，给出水的膨胀系数和压缩系数等参数，便于试验数据计算。</w:t>
      </w:r>
    </w:p>
    <w:p w14:paraId="0B3E6DC8">
      <w:pPr>
        <w:numPr>
          <w:ilvl w:val="0"/>
          <w:numId w:val="2"/>
        </w:numPr>
        <w:spacing w:before="156" w:beforeLines="50" w:after="156" w:afterLines="50"/>
        <w:jc w:val="left"/>
        <w:rPr>
          <w:rFonts w:hint="eastAsia"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知识产权说明（涉及专利的情况声明）</w:t>
      </w:r>
    </w:p>
    <w:p w14:paraId="769F0B63">
      <w:pPr>
        <w:pStyle w:val="9"/>
        <w:bidi w:val="0"/>
        <w:rPr>
          <w:rFonts w:hint="eastAsia"/>
          <w:color w:val="auto"/>
        </w:rPr>
      </w:pPr>
      <w:r>
        <w:rPr>
          <w:rFonts w:hint="eastAsia"/>
          <w:color w:val="auto"/>
        </w:rPr>
        <w:t>本文件不涉及专利问题。</w:t>
      </w:r>
    </w:p>
    <w:p w14:paraId="48F63389">
      <w:pPr>
        <w:numPr>
          <w:ilvl w:val="0"/>
          <w:numId w:val="2"/>
        </w:numPr>
        <w:spacing w:before="156" w:beforeLines="50" w:after="156" w:afterLines="50"/>
        <w:jc w:val="left"/>
        <w:rPr>
          <w:rFonts w:hint="eastAsia"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重大分歧意见的处理经过和依据</w:t>
      </w:r>
    </w:p>
    <w:p w14:paraId="10D96D2C">
      <w:pPr>
        <w:pStyle w:val="9"/>
        <w:bidi w:val="0"/>
        <w:rPr>
          <w:rFonts w:hint="eastAsia"/>
          <w:color w:val="auto"/>
        </w:rPr>
      </w:pPr>
      <w:r>
        <w:rPr>
          <w:rFonts w:hint="eastAsia"/>
          <w:color w:val="auto"/>
        </w:rPr>
        <w:t>无。除了个别名词、专业术语名称、性能指标、内容的增加上有过争论</w:t>
      </w:r>
      <w:r>
        <w:rPr>
          <w:rFonts w:hint="eastAsia"/>
          <w:color w:val="auto"/>
          <w:lang w:eastAsia="zh-CN"/>
        </w:rPr>
        <w:t>，</w:t>
      </w:r>
      <w:r>
        <w:rPr>
          <w:rFonts w:hint="eastAsia"/>
          <w:color w:val="auto"/>
        </w:rPr>
        <w:t>最后能够统一认识，起草过程中无重大意见分歧。</w:t>
      </w:r>
    </w:p>
    <w:p w14:paraId="7CAB24FD">
      <w:pPr>
        <w:pStyle w:val="9"/>
        <w:bidi w:val="0"/>
        <w:rPr>
          <w:rFonts w:hint="eastAsia"/>
          <w:color w:val="auto"/>
        </w:rPr>
      </w:pPr>
    </w:p>
    <w:p w14:paraId="1710FBF5">
      <w:pPr>
        <w:keepNext w:val="0"/>
        <w:keepLines w:val="0"/>
        <w:pageBreakBefore w:val="0"/>
        <w:widowControl w:val="0"/>
        <w:kinsoku/>
        <w:wordWrap w:val="0"/>
        <w:overflowPunct/>
        <w:topLinePunct w:val="0"/>
        <w:autoSpaceDE/>
        <w:autoSpaceDN/>
        <w:bidi w:val="0"/>
        <w:adjustRightInd/>
        <w:snapToGrid/>
        <w:spacing w:line="360" w:lineRule="auto"/>
        <w:ind w:firstLine="2891" w:firstLineChars="1200"/>
        <w:jc w:val="right"/>
        <w:textAlignment w:val="auto"/>
        <w:rPr>
          <w:rFonts w:hint="eastAsia" w:ascii="宋体" w:hAnsi="宋体" w:eastAsia="宋体" w:cs="Times New Roman"/>
          <w:b/>
          <w:bCs/>
          <w:color w:val="auto"/>
          <w:sz w:val="24"/>
        </w:rPr>
      </w:pPr>
      <w:r>
        <w:rPr>
          <w:rFonts w:hint="eastAsia" w:ascii="宋体" w:hAnsi="宋体" w:eastAsia="宋体" w:cs="Times New Roman"/>
          <w:b/>
          <w:bCs/>
          <w:color w:val="auto"/>
          <w:sz w:val="24"/>
          <w:lang w:val="en-US" w:eastAsia="zh-CN"/>
        </w:rPr>
        <w:t>大纲</w:t>
      </w:r>
      <w:r>
        <w:rPr>
          <w:rFonts w:ascii="宋体" w:hAnsi="宋体" w:eastAsia="宋体" w:cs="Times New Roman"/>
          <w:b/>
          <w:bCs/>
          <w:color w:val="auto"/>
          <w:sz w:val="24"/>
        </w:rPr>
        <w:t>起草组</w:t>
      </w:r>
      <w:r>
        <w:rPr>
          <w:rFonts w:hint="eastAsia" w:ascii="宋体" w:hAnsi="宋体" w:eastAsia="宋体" w:cs="Times New Roman"/>
          <w:b/>
          <w:bCs/>
          <w:color w:val="auto"/>
          <w:sz w:val="24"/>
        </w:rPr>
        <w:t xml:space="preserve">      </w:t>
      </w:r>
    </w:p>
    <w:p w14:paraId="08B5B179">
      <w:pPr>
        <w:keepNext w:val="0"/>
        <w:keepLines w:val="0"/>
        <w:pageBreakBefore w:val="0"/>
        <w:widowControl w:val="0"/>
        <w:kinsoku/>
        <w:wordWrap w:val="0"/>
        <w:overflowPunct/>
        <w:topLinePunct w:val="0"/>
        <w:autoSpaceDE/>
        <w:autoSpaceDN/>
        <w:bidi w:val="0"/>
        <w:adjustRightInd/>
        <w:snapToGrid/>
        <w:spacing w:line="360" w:lineRule="auto"/>
        <w:ind w:firstLine="2891" w:firstLineChars="1200"/>
        <w:jc w:val="right"/>
        <w:textAlignment w:val="auto"/>
        <w:rPr>
          <w:rFonts w:hint="eastAsia" w:ascii="宋体" w:hAnsi="宋体" w:eastAsia="宋体" w:cs="Times New Roman"/>
          <w:b/>
          <w:bCs/>
          <w:color w:val="auto"/>
          <w:sz w:val="24"/>
        </w:rPr>
      </w:pPr>
      <w:r>
        <w:rPr>
          <w:rFonts w:ascii="宋体" w:hAnsi="宋体" w:eastAsia="宋体" w:cs="Times New Roman"/>
          <w:b/>
          <w:bCs/>
          <w:color w:val="auto"/>
          <w:sz w:val="24"/>
        </w:rPr>
        <w:t xml:space="preserve"> </w:t>
      </w:r>
      <w:r>
        <w:rPr>
          <w:rFonts w:hint="eastAsia" w:ascii="宋体" w:hAnsi="宋体" w:eastAsia="宋体" w:cs="Times New Roman"/>
          <w:b/>
          <w:bCs/>
          <w:color w:val="auto"/>
          <w:sz w:val="24"/>
        </w:rPr>
        <w:t>2</w:t>
      </w:r>
      <w:r>
        <w:rPr>
          <w:rFonts w:ascii="宋体" w:hAnsi="宋体" w:eastAsia="宋体" w:cs="Times New Roman"/>
          <w:b/>
          <w:bCs/>
          <w:color w:val="auto"/>
          <w:sz w:val="24"/>
        </w:rPr>
        <w:t>02</w:t>
      </w:r>
      <w:r>
        <w:rPr>
          <w:rFonts w:hint="eastAsia" w:ascii="宋体" w:hAnsi="宋体" w:eastAsia="宋体" w:cs="Times New Roman"/>
          <w:b/>
          <w:bCs/>
          <w:color w:val="auto"/>
          <w:sz w:val="24"/>
          <w:lang w:val="en-US" w:eastAsia="zh-CN"/>
        </w:rPr>
        <w:t>6</w:t>
      </w:r>
      <w:r>
        <w:rPr>
          <w:rFonts w:ascii="宋体" w:hAnsi="宋体" w:eastAsia="宋体" w:cs="Times New Roman"/>
          <w:b/>
          <w:bCs/>
          <w:color w:val="auto"/>
          <w:sz w:val="24"/>
        </w:rPr>
        <w:t>年</w:t>
      </w:r>
      <w:r>
        <w:rPr>
          <w:rFonts w:hint="eastAsia" w:ascii="宋体" w:hAnsi="宋体" w:eastAsia="宋体" w:cs="Times New Roman"/>
          <w:b/>
          <w:bCs/>
          <w:color w:val="auto"/>
          <w:sz w:val="24"/>
          <w:lang w:val="en-US" w:eastAsia="zh-CN"/>
        </w:rPr>
        <w:t>7</w:t>
      </w:r>
      <w:r>
        <w:rPr>
          <w:rFonts w:ascii="宋体" w:hAnsi="宋体" w:eastAsia="宋体" w:cs="Times New Roman"/>
          <w:b/>
          <w:bCs/>
          <w:color w:val="auto"/>
          <w:sz w:val="24"/>
        </w:rPr>
        <w:t>月</w:t>
      </w:r>
      <w:r>
        <w:rPr>
          <w:rFonts w:hint="eastAsia" w:ascii="宋体" w:hAnsi="宋体" w:eastAsia="宋体" w:cs="Times New Roman"/>
          <w:b/>
          <w:bCs/>
          <w:color w:val="auto"/>
          <w:sz w:val="24"/>
          <w:lang w:val="en-US" w:eastAsia="zh-CN"/>
        </w:rPr>
        <w:t>7</w:t>
      </w:r>
      <w:r>
        <w:rPr>
          <w:rFonts w:ascii="宋体" w:hAnsi="宋体" w:eastAsia="宋体" w:cs="Times New Roman"/>
          <w:b/>
          <w:bCs/>
          <w:color w:val="auto"/>
          <w:sz w:val="24"/>
        </w:rPr>
        <w:t>日</w:t>
      </w:r>
      <w:r>
        <w:rPr>
          <w:rFonts w:hint="eastAsia" w:ascii="宋体" w:hAnsi="宋体" w:eastAsia="宋体" w:cs="Times New Roman"/>
          <w:b/>
          <w:bCs/>
          <w:color w:val="auto"/>
          <w:sz w:val="24"/>
        </w:rPr>
        <w:t xml:space="preserve">   </w:t>
      </w:r>
      <w:bookmarkStart w:id="1" w:name="_GoBack"/>
      <w:bookmarkEnd w:id="1"/>
    </w:p>
    <w:p w14:paraId="55EC92D7">
      <w:pPr>
        <w:pStyle w:val="13"/>
        <w:spacing w:line="360" w:lineRule="auto"/>
        <w:ind w:firstLine="480"/>
        <w:jc w:val="left"/>
        <w:rPr>
          <w:rFonts w:cs="Times New Roman" w:asciiTheme="minorEastAsia" w:hAnsiTheme="minorEastAsia"/>
          <w:color w:val="auto"/>
          <w:kern w:val="0"/>
          <w:sz w:val="24"/>
          <w:lang w:bidi="ar"/>
        </w:rPr>
      </w:pPr>
    </w:p>
    <w:p w14:paraId="2D5B02FF">
      <w:pPr>
        <w:pStyle w:val="13"/>
        <w:spacing w:line="360" w:lineRule="auto"/>
        <w:ind w:firstLine="480"/>
        <w:jc w:val="left"/>
        <w:rPr>
          <w:rFonts w:cs="Times New Roman" w:asciiTheme="minorEastAsia" w:hAnsiTheme="minorEastAsia"/>
          <w:color w:val="auto"/>
          <w:kern w:val="0"/>
          <w:sz w:val="24"/>
          <w:lang w:bidi="ar"/>
        </w:rPr>
      </w:pPr>
    </w:p>
    <w:p w14:paraId="169D71FF">
      <w:pPr>
        <w:pStyle w:val="13"/>
        <w:spacing w:line="360" w:lineRule="auto"/>
        <w:ind w:firstLine="480"/>
        <w:jc w:val="left"/>
        <w:rPr>
          <w:rFonts w:cs="Times New Roman" w:asciiTheme="minorEastAsia" w:hAnsiTheme="minorEastAsia"/>
          <w:color w:val="auto"/>
          <w:kern w:val="0"/>
          <w:sz w:val="24"/>
          <w:lang w:bidi="ar"/>
        </w:rPr>
      </w:pPr>
    </w:p>
    <w:p w14:paraId="5FAAF116">
      <w:pPr>
        <w:pStyle w:val="13"/>
        <w:spacing w:line="360" w:lineRule="auto"/>
        <w:ind w:firstLine="4560" w:firstLineChars="1900"/>
        <w:jc w:val="left"/>
        <w:rPr>
          <w:rFonts w:cs="Times New Roman" w:asciiTheme="minorEastAsia" w:hAnsiTheme="minorEastAsia"/>
          <w:color w:val="auto"/>
          <w:kern w:val="0"/>
          <w:sz w:val="24"/>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EB8731"/>
    <w:multiLevelType w:val="singleLevel"/>
    <w:tmpl w:val="31EB8731"/>
    <w:lvl w:ilvl="0" w:tentative="0">
      <w:start w:val="1"/>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cs="Times New Roman"/>
        <w:b/>
        <w:i w:val="0"/>
        <w:sz w:val="21"/>
      </w:rPr>
    </w:lvl>
    <w:lvl w:ilvl="1" w:tentative="0">
      <w:start w:val="1"/>
      <w:numFmt w:val="decimal"/>
      <w:lvlRestart w:val="0"/>
      <w:suff w:val="space"/>
      <w:lvlText w:val="%2"/>
      <w:lvlJc w:val="left"/>
      <w:pPr>
        <w:ind w:left="0" w:firstLine="0"/>
      </w:pPr>
      <w:rPr>
        <w:rFonts w:hint="eastAsia" w:ascii="黑体" w:hAnsi="Times New Roman" w:eastAsia="黑体"/>
        <w:b w:val="0"/>
        <w:i w:val="0"/>
        <w:sz w:val="28"/>
      </w:rPr>
    </w:lvl>
    <w:lvl w:ilvl="2" w:tentative="0">
      <w:start w:val="1"/>
      <w:numFmt w:val="decimal"/>
      <w:suff w:val="nothing"/>
      <w:lvlText w:val="%1%2.%3　"/>
      <w:lvlJc w:val="left"/>
      <w:pPr>
        <w:ind w:left="0" w:firstLine="0"/>
      </w:pPr>
      <w:rPr>
        <w:rFonts w:hint="eastAsia" w:ascii="宋体" w:hAnsi="Times New Roman" w:eastAsia="宋体"/>
        <w:b w:val="0"/>
        <w:i w:val="0"/>
        <w:sz w:val="24"/>
      </w:rPr>
    </w:lvl>
    <w:lvl w:ilvl="3" w:tentative="0">
      <w:start w:val="1"/>
      <w:numFmt w:val="decimal"/>
      <w:pStyle w:val="17"/>
      <w:suff w:val="nothing"/>
      <w:lvlText w:val="%1%2.%3.%4　"/>
      <w:lvlJc w:val="left"/>
      <w:pPr>
        <w:ind w:left="0" w:firstLine="0"/>
      </w:pPr>
      <w:rPr>
        <w:rFonts w:hint="eastAsia" w:ascii="宋体" w:hAnsi="Times New Roman" w:eastAsia="宋体"/>
        <w:b w:val="0"/>
        <w:i w:val="0"/>
        <w:sz w:val="24"/>
      </w:rPr>
    </w:lvl>
    <w:lvl w:ilvl="4" w:tentative="0">
      <w:start w:val="1"/>
      <w:numFmt w:val="decimal"/>
      <w:suff w:val="nothing"/>
      <w:lvlText w:val="%1%2.%3.%4.%5　"/>
      <w:lvlJc w:val="left"/>
      <w:pPr>
        <w:ind w:left="360" w:firstLine="0"/>
      </w:pPr>
      <w:rPr>
        <w:rFonts w:hint="eastAsia" w:ascii="宋体" w:hAnsi="Times New Roman" w:eastAsia="宋体"/>
        <w:b w:val="0"/>
        <w:i w:val="0"/>
        <w:sz w:val="24"/>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hNDQ1Y2M0N2M2ZDlmMWI2MDVjODU3NGIwYzExYTIifQ=="/>
  </w:docVars>
  <w:rsids>
    <w:rsidRoot w:val="00B620F3"/>
    <w:rsid w:val="00014A2C"/>
    <w:rsid w:val="00015D81"/>
    <w:rsid w:val="00024EEA"/>
    <w:rsid w:val="00053819"/>
    <w:rsid w:val="00055420"/>
    <w:rsid w:val="00055704"/>
    <w:rsid w:val="000714B9"/>
    <w:rsid w:val="0009341F"/>
    <w:rsid w:val="000D3C89"/>
    <w:rsid w:val="000D5462"/>
    <w:rsid w:val="000E3C3F"/>
    <w:rsid w:val="0011182B"/>
    <w:rsid w:val="00116A4B"/>
    <w:rsid w:val="0017480D"/>
    <w:rsid w:val="00182C01"/>
    <w:rsid w:val="00192EEE"/>
    <w:rsid w:val="001A5404"/>
    <w:rsid w:val="001E1556"/>
    <w:rsid w:val="001E3351"/>
    <w:rsid w:val="001E49D6"/>
    <w:rsid w:val="002226FC"/>
    <w:rsid w:val="00223FBB"/>
    <w:rsid w:val="00251D49"/>
    <w:rsid w:val="002541F3"/>
    <w:rsid w:val="002648C2"/>
    <w:rsid w:val="002C61EE"/>
    <w:rsid w:val="002C64DC"/>
    <w:rsid w:val="002C6DE4"/>
    <w:rsid w:val="002D7915"/>
    <w:rsid w:val="002D7DD7"/>
    <w:rsid w:val="002F254C"/>
    <w:rsid w:val="00315299"/>
    <w:rsid w:val="003245C5"/>
    <w:rsid w:val="003866C1"/>
    <w:rsid w:val="003A54C7"/>
    <w:rsid w:val="003A5616"/>
    <w:rsid w:val="003C3E0F"/>
    <w:rsid w:val="003C57F0"/>
    <w:rsid w:val="003E2E74"/>
    <w:rsid w:val="00402F20"/>
    <w:rsid w:val="00405187"/>
    <w:rsid w:val="00405E06"/>
    <w:rsid w:val="00410CCA"/>
    <w:rsid w:val="00416D63"/>
    <w:rsid w:val="00472A27"/>
    <w:rsid w:val="00487CDA"/>
    <w:rsid w:val="00503A12"/>
    <w:rsid w:val="00533195"/>
    <w:rsid w:val="00542B34"/>
    <w:rsid w:val="00564781"/>
    <w:rsid w:val="00573117"/>
    <w:rsid w:val="00573B60"/>
    <w:rsid w:val="005935A1"/>
    <w:rsid w:val="00613E9F"/>
    <w:rsid w:val="006351B1"/>
    <w:rsid w:val="00656C4C"/>
    <w:rsid w:val="006630A4"/>
    <w:rsid w:val="006B4BCD"/>
    <w:rsid w:val="006C7665"/>
    <w:rsid w:val="006E3431"/>
    <w:rsid w:val="007021B0"/>
    <w:rsid w:val="00726538"/>
    <w:rsid w:val="007510B2"/>
    <w:rsid w:val="007952C8"/>
    <w:rsid w:val="00797DA8"/>
    <w:rsid w:val="007A1766"/>
    <w:rsid w:val="007D57B5"/>
    <w:rsid w:val="007E4E28"/>
    <w:rsid w:val="007F244E"/>
    <w:rsid w:val="008123C0"/>
    <w:rsid w:val="00826D73"/>
    <w:rsid w:val="00831E00"/>
    <w:rsid w:val="008729CD"/>
    <w:rsid w:val="00873C32"/>
    <w:rsid w:val="00890839"/>
    <w:rsid w:val="008A66C7"/>
    <w:rsid w:val="008C4B9A"/>
    <w:rsid w:val="009177D3"/>
    <w:rsid w:val="0094408C"/>
    <w:rsid w:val="00944214"/>
    <w:rsid w:val="009511F2"/>
    <w:rsid w:val="00966B77"/>
    <w:rsid w:val="00981CA7"/>
    <w:rsid w:val="00990122"/>
    <w:rsid w:val="009A0644"/>
    <w:rsid w:val="009A3F91"/>
    <w:rsid w:val="009B227A"/>
    <w:rsid w:val="009C1EBE"/>
    <w:rsid w:val="009D332F"/>
    <w:rsid w:val="009D6973"/>
    <w:rsid w:val="009F5602"/>
    <w:rsid w:val="00A0105E"/>
    <w:rsid w:val="00A32287"/>
    <w:rsid w:val="00A50373"/>
    <w:rsid w:val="00A542B1"/>
    <w:rsid w:val="00A57FCB"/>
    <w:rsid w:val="00A60C6D"/>
    <w:rsid w:val="00A62E97"/>
    <w:rsid w:val="00AA51EF"/>
    <w:rsid w:val="00AC58C6"/>
    <w:rsid w:val="00AE1BFD"/>
    <w:rsid w:val="00AF3960"/>
    <w:rsid w:val="00B21142"/>
    <w:rsid w:val="00B3345C"/>
    <w:rsid w:val="00B620F3"/>
    <w:rsid w:val="00B74A2F"/>
    <w:rsid w:val="00B8274D"/>
    <w:rsid w:val="00B87AD2"/>
    <w:rsid w:val="00B9460D"/>
    <w:rsid w:val="00BB167B"/>
    <w:rsid w:val="00BB73E1"/>
    <w:rsid w:val="00BE37FD"/>
    <w:rsid w:val="00BE618E"/>
    <w:rsid w:val="00BF562D"/>
    <w:rsid w:val="00BF7702"/>
    <w:rsid w:val="00C35DC4"/>
    <w:rsid w:val="00C53199"/>
    <w:rsid w:val="00C545E5"/>
    <w:rsid w:val="00C61416"/>
    <w:rsid w:val="00C877AA"/>
    <w:rsid w:val="00CA0610"/>
    <w:rsid w:val="00CA1CE0"/>
    <w:rsid w:val="00CA378A"/>
    <w:rsid w:val="00CC4879"/>
    <w:rsid w:val="00CD198E"/>
    <w:rsid w:val="00CE1E2C"/>
    <w:rsid w:val="00CE4B29"/>
    <w:rsid w:val="00CF7563"/>
    <w:rsid w:val="00D00D1E"/>
    <w:rsid w:val="00D0487E"/>
    <w:rsid w:val="00D116E3"/>
    <w:rsid w:val="00D34473"/>
    <w:rsid w:val="00D5259C"/>
    <w:rsid w:val="00D77E9E"/>
    <w:rsid w:val="00E00C10"/>
    <w:rsid w:val="00E115A1"/>
    <w:rsid w:val="00E27BF0"/>
    <w:rsid w:val="00E52DB9"/>
    <w:rsid w:val="00E7506F"/>
    <w:rsid w:val="00E7688A"/>
    <w:rsid w:val="00EF26B8"/>
    <w:rsid w:val="00EF300B"/>
    <w:rsid w:val="00F076AC"/>
    <w:rsid w:val="00F26A4B"/>
    <w:rsid w:val="00F30EB1"/>
    <w:rsid w:val="00F564F6"/>
    <w:rsid w:val="00F63470"/>
    <w:rsid w:val="00F901DD"/>
    <w:rsid w:val="00F9621F"/>
    <w:rsid w:val="00FB3C43"/>
    <w:rsid w:val="00FB7B7F"/>
    <w:rsid w:val="00FC4480"/>
    <w:rsid w:val="00FD11D8"/>
    <w:rsid w:val="00FF0187"/>
    <w:rsid w:val="00FF7040"/>
    <w:rsid w:val="0224623A"/>
    <w:rsid w:val="02C03403"/>
    <w:rsid w:val="03131EAA"/>
    <w:rsid w:val="038740AC"/>
    <w:rsid w:val="04BC0AF5"/>
    <w:rsid w:val="064451E7"/>
    <w:rsid w:val="06453DE1"/>
    <w:rsid w:val="067B6FE5"/>
    <w:rsid w:val="067D3568"/>
    <w:rsid w:val="071D744A"/>
    <w:rsid w:val="07662685"/>
    <w:rsid w:val="08963F85"/>
    <w:rsid w:val="08DC57CD"/>
    <w:rsid w:val="09031851"/>
    <w:rsid w:val="094E2024"/>
    <w:rsid w:val="094E59D0"/>
    <w:rsid w:val="095270D6"/>
    <w:rsid w:val="0A09292C"/>
    <w:rsid w:val="0A1D35CE"/>
    <w:rsid w:val="0BD4077C"/>
    <w:rsid w:val="0BFF609C"/>
    <w:rsid w:val="0C130EA8"/>
    <w:rsid w:val="0D791FF8"/>
    <w:rsid w:val="0DAC6B17"/>
    <w:rsid w:val="0E856DDA"/>
    <w:rsid w:val="0EBE4E88"/>
    <w:rsid w:val="114704C0"/>
    <w:rsid w:val="126921E2"/>
    <w:rsid w:val="12C127A4"/>
    <w:rsid w:val="12E01424"/>
    <w:rsid w:val="14491C31"/>
    <w:rsid w:val="14C973B5"/>
    <w:rsid w:val="14D5648F"/>
    <w:rsid w:val="159A452E"/>
    <w:rsid w:val="15CA0293"/>
    <w:rsid w:val="16BF44A2"/>
    <w:rsid w:val="17432959"/>
    <w:rsid w:val="17471D88"/>
    <w:rsid w:val="17D02CE2"/>
    <w:rsid w:val="18436D67"/>
    <w:rsid w:val="187846C0"/>
    <w:rsid w:val="18D77BB1"/>
    <w:rsid w:val="19DF688A"/>
    <w:rsid w:val="1AA83ACA"/>
    <w:rsid w:val="1AC25CB7"/>
    <w:rsid w:val="1BE50787"/>
    <w:rsid w:val="1BF74948"/>
    <w:rsid w:val="1C3C2C83"/>
    <w:rsid w:val="1C7C5DBF"/>
    <w:rsid w:val="1CBC1802"/>
    <w:rsid w:val="1D206E04"/>
    <w:rsid w:val="1D5A64C5"/>
    <w:rsid w:val="1DAD35FF"/>
    <w:rsid w:val="1DAD66FA"/>
    <w:rsid w:val="1DC6377C"/>
    <w:rsid w:val="1E714CCD"/>
    <w:rsid w:val="1FE057A7"/>
    <w:rsid w:val="203C27CC"/>
    <w:rsid w:val="20776A96"/>
    <w:rsid w:val="22103612"/>
    <w:rsid w:val="2223311C"/>
    <w:rsid w:val="2262174A"/>
    <w:rsid w:val="22B409AB"/>
    <w:rsid w:val="23230842"/>
    <w:rsid w:val="246C3453"/>
    <w:rsid w:val="256D682F"/>
    <w:rsid w:val="27855967"/>
    <w:rsid w:val="28202E3B"/>
    <w:rsid w:val="284D1A1F"/>
    <w:rsid w:val="287578D4"/>
    <w:rsid w:val="28DB7C08"/>
    <w:rsid w:val="29740EA0"/>
    <w:rsid w:val="2A062D51"/>
    <w:rsid w:val="2A544F33"/>
    <w:rsid w:val="2A6B0897"/>
    <w:rsid w:val="2AB22E8E"/>
    <w:rsid w:val="2C9E0937"/>
    <w:rsid w:val="2D773818"/>
    <w:rsid w:val="2DE967DA"/>
    <w:rsid w:val="2E3C5211"/>
    <w:rsid w:val="2EA85480"/>
    <w:rsid w:val="2EC66D77"/>
    <w:rsid w:val="2F0A70C5"/>
    <w:rsid w:val="2F17793E"/>
    <w:rsid w:val="2FE923BD"/>
    <w:rsid w:val="308D5EB4"/>
    <w:rsid w:val="318B0348"/>
    <w:rsid w:val="32093BEA"/>
    <w:rsid w:val="32570F73"/>
    <w:rsid w:val="339F4686"/>
    <w:rsid w:val="34620346"/>
    <w:rsid w:val="349F73AC"/>
    <w:rsid w:val="34D67F04"/>
    <w:rsid w:val="3553631A"/>
    <w:rsid w:val="3566572C"/>
    <w:rsid w:val="35827A5D"/>
    <w:rsid w:val="363C4989"/>
    <w:rsid w:val="364145DA"/>
    <w:rsid w:val="379871B3"/>
    <w:rsid w:val="38322161"/>
    <w:rsid w:val="38CC2D07"/>
    <w:rsid w:val="3B0E05FA"/>
    <w:rsid w:val="3B315F5D"/>
    <w:rsid w:val="3BAD7055"/>
    <w:rsid w:val="3CDE2200"/>
    <w:rsid w:val="3DB52BCA"/>
    <w:rsid w:val="42077494"/>
    <w:rsid w:val="42481450"/>
    <w:rsid w:val="42A3743B"/>
    <w:rsid w:val="4342216F"/>
    <w:rsid w:val="43751271"/>
    <w:rsid w:val="44153F07"/>
    <w:rsid w:val="442F3E60"/>
    <w:rsid w:val="446A06E7"/>
    <w:rsid w:val="44F62A36"/>
    <w:rsid w:val="45013960"/>
    <w:rsid w:val="48D12765"/>
    <w:rsid w:val="48FA2930"/>
    <w:rsid w:val="49C14B3F"/>
    <w:rsid w:val="4BCF1319"/>
    <w:rsid w:val="4C015121"/>
    <w:rsid w:val="4FE65839"/>
    <w:rsid w:val="5058346E"/>
    <w:rsid w:val="50A437C9"/>
    <w:rsid w:val="53C90F0A"/>
    <w:rsid w:val="548D2856"/>
    <w:rsid w:val="554B3404"/>
    <w:rsid w:val="554B6000"/>
    <w:rsid w:val="556218AA"/>
    <w:rsid w:val="55692E1F"/>
    <w:rsid w:val="56634E09"/>
    <w:rsid w:val="570E0960"/>
    <w:rsid w:val="5887578B"/>
    <w:rsid w:val="58C22DDC"/>
    <w:rsid w:val="58CB2A64"/>
    <w:rsid w:val="5A162D18"/>
    <w:rsid w:val="5A4C56CC"/>
    <w:rsid w:val="5ACF0407"/>
    <w:rsid w:val="5AF1075D"/>
    <w:rsid w:val="5B3A3A10"/>
    <w:rsid w:val="5C231B72"/>
    <w:rsid w:val="5D1B4D35"/>
    <w:rsid w:val="5D4D39B0"/>
    <w:rsid w:val="5D773DF8"/>
    <w:rsid w:val="5E71273A"/>
    <w:rsid w:val="5E72579E"/>
    <w:rsid w:val="5F3A397E"/>
    <w:rsid w:val="5F7D1DD3"/>
    <w:rsid w:val="60770F8C"/>
    <w:rsid w:val="60797701"/>
    <w:rsid w:val="60EB3EB1"/>
    <w:rsid w:val="626D2C89"/>
    <w:rsid w:val="63F71E2B"/>
    <w:rsid w:val="648F39B5"/>
    <w:rsid w:val="654D4EB8"/>
    <w:rsid w:val="655B1F62"/>
    <w:rsid w:val="65804342"/>
    <w:rsid w:val="66A9059D"/>
    <w:rsid w:val="66C75043"/>
    <w:rsid w:val="6745016B"/>
    <w:rsid w:val="67AB518E"/>
    <w:rsid w:val="68A1337C"/>
    <w:rsid w:val="6A51497D"/>
    <w:rsid w:val="6BA71E69"/>
    <w:rsid w:val="6C657A5F"/>
    <w:rsid w:val="6C8724D2"/>
    <w:rsid w:val="6CA86FD8"/>
    <w:rsid w:val="6CDF252E"/>
    <w:rsid w:val="6D0C17FA"/>
    <w:rsid w:val="6DAF4518"/>
    <w:rsid w:val="6F1B70AC"/>
    <w:rsid w:val="6F334509"/>
    <w:rsid w:val="6FD22142"/>
    <w:rsid w:val="70331648"/>
    <w:rsid w:val="70400F90"/>
    <w:rsid w:val="70AE5CB5"/>
    <w:rsid w:val="71D47165"/>
    <w:rsid w:val="721E3C80"/>
    <w:rsid w:val="72B20165"/>
    <w:rsid w:val="73AE4E7E"/>
    <w:rsid w:val="73E87BD5"/>
    <w:rsid w:val="73EA1698"/>
    <w:rsid w:val="750F7ED8"/>
    <w:rsid w:val="75850D3A"/>
    <w:rsid w:val="762C3392"/>
    <w:rsid w:val="765D4C8F"/>
    <w:rsid w:val="77660596"/>
    <w:rsid w:val="79276FD7"/>
    <w:rsid w:val="7B590C41"/>
    <w:rsid w:val="7BE56C1A"/>
    <w:rsid w:val="7C49110B"/>
    <w:rsid w:val="7C8707C7"/>
    <w:rsid w:val="7CAC2AF0"/>
    <w:rsid w:val="7D3859B0"/>
    <w:rsid w:val="7DEA163E"/>
    <w:rsid w:val="7E173F30"/>
    <w:rsid w:val="7E1F20C0"/>
    <w:rsid w:val="7ED007BD"/>
    <w:rsid w:val="7F5E6D58"/>
    <w:rsid w:val="7F9F6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0"/>
    <w:pPr>
      <w:jc w:val="left"/>
    </w:pPr>
    <w:rPr>
      <w:rFonts w:cstheme="minorBidi"/>
      <w:szCs w:val="24"/>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unhideWhenUsed/>
    <w:qFormat/>
    <w:uiPriority w:val="0"/>
    <w:pPr>
      <w:spacing w:after="120"/>
      <w:ind w:left="420" w:leftChars="200"/>
    </w:pPr>
    <w:rPr>
      <w:rFonts w:cstheme="minorBidi"/>
      <w:sz w:val="16"/>
      <w:szCs w:val="16"/>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MT正文"/>
    <w:qFormat/>
    <w:uiPriority w:val="0"/>
    <w:pPr>
      <w:widowControl w:val="0"/>
      <w:snapToGrid w:val="0"/>
      <w:spacing w:line="360" w:lineRule="auto"/>
      <w:ind w:firstLine="1680" w:firstLineChars="200"/>
      <w:jc w:val="both"/>
    </w:pPr>
    <w:rPr>
      <w:rFonts w:ascii="Times New Roman" w:hAnsi="Times New Roman" w:eastAsia="宋体" w:cs="Times New Roman"/>
      <w:kern w:val="0"/>
      <w:sz w:val="24"/>
      <w:szCs w:val="20"/>
      <w:lang w:val="en-US" w:eastAsia="zh-CN" w:bidi="ar-SA"/>
    </w:rPr>
  </w:style>
  <w:style w:type="paragraph" w:customStyle="1" w:styleId="10">
    <w:name w:val="MT-顶头正文"/>
    <w:basedOn w:val="1"/>
    <w:qFormat/>
    <w:uiPriority w:val="0"/>
    <w:pPr>
      <w:widowControl/>
      <w:spacing w:after="0" w:line="360" w:lineRule="auto"/>
      <w:ind w:firstLine="0" w:firstLineChars="0"/>
      <w:jc w:val="left"/>
    </w:pPr>
    <w:rPr>
      <w:rFonts w:ascii="Times New Roman" w:hAnsi="Times New Roman" w:eastAsia="宋体" w:cs="Times New Roman"/>
      <w:sz w:val="24"/>
    </w:rPr>
  </w:style>
  <w:style w:type="character" w:customStyle="1" w:styleId="11">
    <w:name w:val="页眉 字符"/>
    <w:basedOn w:val="8"/>
    <w:link w:val="4"/>
    <w:qFormat/>
    <w:uiPriority w:val="0"/>
    <w:rPr>
      <w:rFonts w:asciiTheme="minorHAnsi" w:hAnsiTheme="minorHAnsi" w:eastAsiaTheme="minorEastAsia" w:cstheme="minorBidi"/>
      <w:kern w:val="2"/>
      <w:sz w:val="18"/>
      <w:szCs w:val="18"/>
    </w:rPr>
  </w:style>
  <w:style w:type="character" w:customStyle="1" w:styleId="12">
    <w:name w:val="页脚 字符"/>
    <w:basedOn w:val="8"/>
    <w:link w:val="3"/>
    <w:qFormat/>
    <w:uiPriority w:val="0"/>
    <w:rPr>
      <w:rFonts w:asciiTheme="minorHAnsi" w:hAnsiTheme="minorHAnsi" w:eastAsiaTheme="minorEastAsia" w:cstheme="minorBidi"/>
      <w:kern w:val="2"/>
      <w:sz w:val="18"/>
      <w:szCs w:val="18"/>
    </w:rPr>
  </w:style>
  <w:style w:type="paragraph" w:styleId="13">
    <w:name w:val="List Paragraph"/>
    <w:basedOn w:val="1"/>
    <w:unhideWhenUsed/>
    <w:qFormat/>
    <w:uiPriority w:val="99"/>
    <w:pPr>
      <w:ind w:firstLine="420" w:firstLineChars="200"/>
    </w:pPr>
  </w:style>
  <w:style w:type="paragraph" w:customStyle="1" w:styleId="14">
    <w:name w:val="三级条标题 Char"/>
    <w:basedOn w:val="15"/>
    <w:next w:val="18"/>
    <w:qFormat/>
    <w:uiPriority w:val="0"/>
    <w:pPr>
      <w:widowControl/>
      <w:jc w:val="left"/>
      <w:outlineLvl w:val="4"/>
    </w:pPr>
    <w:rPr>
      <w:rFonts w:ascii="Times New Roman" w:hAnsi="Times New Roman" w:eastAsia="黑体" w:cs="Times New Roman"/>
      <w:kern w:val="0"/>
      <w:szCs w:val="20"/>
    </w:rPr>
  </w:style>
  <w:style w:type="paragraph" w:customStyle="1" w:styleId="15">
    <w:name w:val="二级条标题"/>
    <w:basedOn w:val="16"/>
    <w:next w:val="1"/>
    <w:qFormat/>
    <w:uiPriority w:val="0"/>
    <w:pPr>
      <w:ind w:left="0"/>
      <w:outlineLvl w:val="3"/>
    </w:pPr>
  </w:style>
  <w:style w:type="paragraph" w:customStyle="1" w:styleId="16">
    <w:name w:val="一级条标题"/>
    <w:basedOn w:val="17"/>
    <w:next w:val="1"/>
    <w:qFormat/>
    <w:uiPriority w:val="0"/>
    <w:pPr>
      <w:numPr>
        <w:ilvl w:val="0"/>
        <w:numId w:val="0"/>
      </w:numPr>
      <w:spacing w:beforeLines="0" w:afterLines="0"/>
      <w:ind w:left="360"/>
      <w:outlineLvl w:val="2"/>
    </w:pPr>
  </w:style>
  <w:style w:type="paragraph" w:customStyle="1" w:styleId="17">
    <w:name w:val="章标题"/>
    <w:next w:val="1"/>
    <w:qFormat/>
    <w:uiPriority w:val="0"/>
    <w:pPr>
      <w:numPr>
        <w:ilvl w:val="3"/>
        <w:numId w:val="1"/>
      </w:numPr>
      <w:spacing w:beforeLines="50" w:afterLines="50"/>
      <w:jc w:val="both"/>
      <w:outlineLvl w:val="1"/>
    </w:pPr>
    <w:rPr>
      <w:rFonts w:ascii="黑体" w:hAnsi="Times New Roman" w:eastAsia="黑体" w:cstheme="minorBidi"/>
      <w:kern w:val="2"/>
      <w:sz w:val="21"/>
      <w:szCs w:val="22"/>
      <w:lang w:val="en-US" w:eastAsia="zh-CN" w:bidi="ar-SA"/>
    </w:rPr>
  </w:style>
  <w:style w:type="paragraph" w:customStyle="1" w:styleId="18">
    <w:name w:val="段"/>
    <w:qFormat/>
    <w:uiPriority w:val="0"/>
    <w:pPr>
      <w:autoSpaceDE w:val="0"/>
      <w:autoSpaceDN w:val="0"/>
      <w:ind w:firstLine="200" w:firstLineChars="200"/>
      <w:jc w:val="both"/>
    </w:pPr>
    <w:rPr>
      <w:rFonts w:ascii="宋体" w:hAnsi="宋体" w:eastAsia="Times New Roman" w:cstheme="minorBidi"/>
      <w:kern w:val="2"/>
      <w:sz w:val="21"/>
      <w:szCs w:val="22"/>
      <w:lang w:val="en-US" w:eastAsia="zh-CN" w:bidi="ar-SA"/>
    </w:rPr>
  </w:style>
  <w:style w:type="paragraph" w:customStyle="1" w:styleId="19">
    <w:name w:val="mainbody"/>
    <w:autoRedefine/>
    <w:qFormat/>
    <w:uiPriority w:val="0"/>
    <w:pPr>
      <w:widowControl w:val="0"/>
      <w:adjustRightInd w:val="0"/>
      <w:snapToGrid w:val="0"/>
      <w:spacing w:line="360" w:lineRule="auto"/>
      <w:ind w:firstLine="480" w:firstLineChars="200"/>
      <w:jc w:val="both"/>
    </w:pPr>
    <w:rPr>
      <w:rFonts w:ascii="Times New Roman" w:hAnsi="Times New Roman" w:eastAsia="宋体" w:cs="宋体"/>
      <w:sz w:val="24"/>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4064</Words>
  <Characters>4661</Characters>
  <Lines>40</Lines>
  <Paragraphs>11</Paragraphs>
  <TotalTime>1</TotalTime>
  <ScaleCrop>false</ScaleCrop>
  <LinksUpToDate>false</LinksUpToDate>
  <CharactersWithSpaces>4743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2020-10-17T07:21:00Z</dcterms:created>
  <dc:creator>Administrator</dc:creator>
  <cp:lastModifiedBy>SKY </cp:lastModifiedBy>
  <dcterms:modified xsi:type="dcterms:W3CDTF">2026-07-07T07:18:27Z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05B4420B132B4C8CB6DFEE0DC92F73CB_13</vt:lpwstr>
  </property>
  <property fmtid="{D5CDD505-2E9C-101B-9397-08002B2CF9AE}" pid="4" name="KSOTemplateDocerSaveRecord">
    <vt:lpwstr>eyJoZGlkIjoiOWI2ZDQ2MjU1OWI5ZjU3N2M1ZDgwYjBiY2RlZGRjNjciLCJ1c2VySWQiOiIyNDc5NDYzMyJ9</vt:lpwstr>
  </property>
</Properties>
</file>